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37D86">
      <w:pPr>
        <w:pStyle w:val="3"/>
        <w:ind w:left="1260"/>
        <w:rPr>
          <w:rFonts w:hint="eastAsia"/>
        </w:rPr>
      </w:pPr>
    </w:p>
    <w:p w14:paraId="179E29F1">
      <w:pPr>
        <w:jc w:val="center"/>
        <w:rPr>
          <w:rFonts w:hint="eastAsia"/>
          <w:sz w:val="36"/>
          <w:szCs w:val="36"/>
        </w:rPr>
      </w:pPr>
    </w:p>
    <w:p w14:paraId="350D45C2">
      <w:pPr>
        <w:jc w:val="center"/>
        <w:rPr>
          <w:sz w:val="36"/>
          <w:szCs w:val="36"/>
        </w:rPr>
      </w:pPr>
    </w:p>
    <w:p w14:paraId="7581C296">
      <w:pPr>
        <w:jc w:val="center"/>
        <w:rPr>
          <w:rFonts w:hint="eastAsia" w:ascii="黑体" w:hAnsi="黑体" w:eastAsia="黑体"/>
          <w:sz w:val="84"/>
          <w:szCs w:val="84"/>
        </w:rPr>
      </w:pPr>
      <w:r>
        <w:rPr>
          <w:rFonts w:hint="eastAsia" w:ascii="黑体" w:hAnsi="黑体" w:eastAsia="黑体"/>
          <w:sz w:val="84"/>
          <w:szCs w:val="84"/>
        </w:rPr>
        <w:t>比</w:t>
      </w:r>
      <w:r>
        <w:rPr>
          <w:rFonts w:ascii="黑体" w:hAnsi="黑体" w:eastAsia="黑体"/>
          <w:sz w:val="84"/>
          <w:szCs w:val="84"/>
        </w:rPr>
        <w:t>价文件</w:t>
      </w:r>
    </w:p>
    <w:p w14:paraId="04889D11">
      <w:pPr>
        <w:jc w:val="center"/>
        <w:rPr>
          <w:rFonts w:hint="eastAsia" w:eastAsia="华文中宋"/>
          <w:sz w:val="36"/>
          <w:szCs w:val="36"/>
        </w:rPr>
      </w:pPr>
    </w:p>
    <w:p w14:paraId="4508E3AD">
      <w:pPr>
        <w:jc w:val="center"/>
        <w:rPr>
          <w:rFonts w:hint="eastAsia" w:eastAsia="华文中宋"/>
          <w:sz w:val="36"/>
          <w:szCs w:val="36"/>
        </w:rPr>
      </w:pPr>
    </w:p>
    <w:p w14:paraId="047563ED">
      <w:pPr>
        <w:jc w:val="center"/>
        <w:rPr>
          <w:rFonts w:hint="eastAsia" w:eastAsia="华文中宋"/>
          <w:sz w:val="36"/>
          <w:szCs w:val="36"/>
        </w:rPr>
      </w:pPr>
    </w:p>
    <w:p w14:paraId="002D10E0">
      <w:pPr>
        <w:ind w:left="762" w:leftChars="363" w:firstLine="960" w:firstLineChars="300"/>
        <w:rPr>
          <w:rFonts w:ascii="微软雅黑" w:hAnsi="微软雅黑" w:eastAsia="微软雅黑"/>
          <w:bCs/>
          <w:color w:val="000000"/>
          <w:sz w:val="32"/>
          <w:szCs w:val="32"/>
        </w:rPr>
      </w:pPr>
    </w:p>
    <w:tbl>
      <w:tblPr>
        <w:tblStyle w:val="9"/>
        <w:tblW w:w="0" w:type="auto"/>
        <w:jc w:val="center"/>
        <w:tblLayout w:type="fixed"/>
        <w:tblCellMar>
          <w:top w:w="0" w:type="dxa"/>
          <w:left w:w="108" w:type="dxa"/>
          <w:bottom w:w="0" w:type="dxa"/>
          <w:right w:w="108" w:type="dxa"/>
        </w:tblCellMar>
      </w:tblPr>
      <w:tblGrid>
        <w:gridCol w:w="1883"/>
        <w:gridCol w:w="5912"/>
      </w:tblGrid>
      <w:tr w14:paraId="7613B2C4">
        <w:tblPrEx>
          <w:tblCellMar>
            <w:top w:w="0" w:type="dxa"/>
            <w:left w:w="108" w:type="dxa"/>
            <w:bottom w:w="0" w:type="dxa"/>
            <w:right w:w="108" w:type="dxa"/>
          </w:tblCellMar>
        </w:tblPrEx>
        <w:trPr>
          <w:jc w:val="center"/>
        </w:trPr>
        <w:tc>
          <w:tcPr>
            <w:tcW w:w="1883" w:type="dxa"/>
          </w:tcPr>
          <w:p w14:paraId="4B518210">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项目名称：</w:t>
            </w:r>
          </w:p>
        </w:tc>
        <w:tc>
          <w:tcPr>
            <w:tcW w:w="5912" w:type="dxa"/>
          </w:tcPr>
          <w:p w14:paraId="03D33247">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2场“忠诚无名”</w:t>
            </w:r>
            <w:r>
              <w:rPr>
                <w:rFonts w:hint="eastAsia" w:ascii="黑体" w:hAnsi="黑体" w:eastAsia="黑体" w:cs="Arial"/>
                <w:sz w:val="32"/>
                <w:szCs w:val="28"/>
                <w:shd w:val="clear" w:color="auto" w:fill="FFFFFF"/>
              </w:rPr>
              <w:t>情景思政课授课导演指导、舞台设备租赁和技术服务保障</w:t>
            </w:r>
          </w:p>
        </w:tc>
      </w:tr>
      <w:tr w14:paraId="62177ACC">
        <w:tblPrEx>
          <w:tblCellMar>
            <w:top w:w="0" w:type="dxa"/>
            <w:left w:w="108" w:type="dxa"/>
            <w:bottom w:w="0" w:type="dxa"/>
            <w:right w:w="108" w:type="dxa"/>
          </w:tblCellMar>
        </w:tblPrEx>
        <w:trPr>
          <w:jc w:val="center"/>
        </w:trPr>
        <w:tc>
          <w:tcPr>
            <w:tcW w:w="1883" w:type="dxa"/>
          </w:tcPr>
          <w:p w14:paraId="24CD75B4">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项目编号：</w:t>
            </w:r>
          </w:p>
        </w:tc>
        <w:tc>
          <w:tcPr>
            <w:tcW w:w="5912" w:type="dxa"/>
          </w:tcPr>
          <w:p w14:paraId="5D2FC3C5">
            <w:pPr>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lang w:val="zh-CN"/>
              </w:rPr>
              <w:t>2026-YKGJGXZGC-F900</w:t>
            </w:r>
            <w:r>
              <w:rPr>
                <w:rFonts w:hint="eastAsia" w:ascii="微软雅黑" w:hAnsi="微软雅黑" w:eastAsia="微软雅黑"/>
                <w:bCs/>
                <w:color w:val="000000"/>
                <w:sz w:val="32"/>
                <w:szCs w:val="32"/>
              </w:rPr>
              <w:t>6</w:t>
            </w:r>
          </w:p>
        </w:tc>
      </w:tr>
    </w:tbl>
    <w:p w14:paraId="501B6098">
      <w:pPr>
        <w:jc w:val="center"/>
        <w:rPr>
          <w:rFonts w:hint="eastAsia" w:eastAsia="华文中宋"/>
          <w:sz w:val="36"/>
          <w:szCs w:val="36"/>
        </w:rPr>
      </w:pPr>
    </w:p>
    <w:p w14:paraId="4115A3B3">
      <w:pPr>
        <w:jc w:val="center"/>
        <w:rPr>
          <w:rFonts w:hint="eastAsia" w:eastAsia="华文中宋"/>
          <w:sz w:val="36"/>
          <w:szCs w:val="36"/>
        </w:rPr>
      </w:pPr>
    </w:p>
    <w:p w14:paraId="0789FED4">
      <w:pPr>
        <w:jc w:val="center"/>
        <w:rPr>
          <w:rFonts w:hint="eastAsia" w:eastAsia="华文中宋"/>
          <w:sz w:val="36"/>
          <w:szCs w:val="36"/>
        </w:rPr>
      </w:pPr>
    </w:p>
    <w:p w14:paraId="06EE038C">
      <w:pPr>
        <w:jc w:val="center"/>
        <w:rPr>
          <w:rFonts w:hint="eastAsia" w:eastAsia="华文中宋"/>
          <w:sz w:val="36"/>
          <w:szCs w:val="36"/>
        </w:rPr>
      </w:pPr>
    </w:p>
    <w:p w14:paraId="0104C270">
      <w:pPr>
        <w:jc w:val="center"/>
        <w:rPr>
          <w:rFonts w:hint="eastAsia" w:eastAsia="华文中宋"/>
          <w:sz w:val="36"/>
          <w:szCs w:val="36"/>
        </w:rPr>
      </w:pPr>
    </w:p>
    <w:p w14:paraId="4F36BAD0">
      <w:pPr>
        <w:spacing w:line="560" w:lineRule="exact"/>
        <w:jc w:val="center"/>
        <w:rPr>
          <w:rFonts w:hint="eastAsia" w:eastAsia="黑体"/>
          <w:sz w:val="28"/>
          <w:szCs w:val="28"/>
        </w:rPr>
      </w:pPr>
      <w:r>
        <w:rPr>
          <w:rFonts w:hint="eastAsia" w:eastAsia="黑体"/>
          <w:sz w:val="28"/>
          <w:szCs w:val="28"/>
        </w:rPr>
        <w:t>某单位</w:t>
      </w:r>
    </w:p>
    <w:p w14:paraId="500D0EA1">
      <w:pPr>
        <w:spacing w:line="560" w:lineRule="exact"/>
        <w:rPr>
          <w:rFonts w:hint="eastAsia" w:eastAsia="黑体"/>
          <w:sz w:val="28"/>
          <w:szCs w:val="28"/>
        </w:rPr>
        <w:sectPr>
          <w:footerReference r:id="rId3" w:type="default"/>
          <w:footerReference r:id="rId4" w:type="even"/>
          <w:pgSz w:w="11906" w:h="16838"/>
          <w:pgMar w:top="2098" w:right="1474" w:bottom="1985" w:left="1588" w:header="851" w:footer="992" w:gutter="0"/>
          <w:pgNumType w:start="1" w:chapSep="emDash"/>
          <w:cols w:space="720" w:num="1"/>
          <w:docGrid w:type="lines" w:linePitch="312" w:charSpace="0"/>
        </w:sectPr>
      </w:pPr>
    </w:p>
    <w:p w14:paraId="5B3B1214">
      <w:pPr>
        <w:pStyle w:val="3"/>
        <w:ind w:left="0" w:leftChars="0"/>
        <w:jc w:val="center"/>
        <w:rPr>
          <w:rFonts w:hint="eastAsia" w:ascii="黑体" w:hAnsi="黑体" w:eastAsia="黑体" w:cs="仿宋_GB2312"/>
          <w:sz w:val="32"/>
          <w:szCs w:val="32"/>
        </w:rPr>
      </w:pPr>
      <w:r>
        <w:rPr>
          <w:rFonts w:hint="eastAsia" w:ascii="黑体" w:hAnsi="黑体" w:eastAsia="黑体" w:cs="宋体"/>
          <w:color w:val="000000"/>
          <w:sz w:val="44"/>
          <w:szCs w:val="44"/>
        </w:rPr>
        <w:t>采购内容明细</w:t>
      </w:r>
    </w:p>
    <w:tbl>
      <w:tblPr>
        <w:tblStyle w:val="9"/>
        <w:tblW w:w="9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237"/>
        <w:gridCol w:w="6478"/>
        <w:gridCol w:w="808"/>
      </w:tblGrid>
      <w:tr w14:paraId="7FF4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64" w:type="dxa"/>
            <w:vAlign w:val="center"/>
          </w:tcPr>
          <w:p w14:paraId="7E5F14D8">
            <w:pPr>
              <w:autoSpaceDE w:val="0"/>
              <w:autoSpaceDN w:val="0"/>
              <w:adjustRightInd w:val="0"/>
              <w:ind w:right="-97" w:rightChars="-46"/>
              <w:jc w:val="left"/>
              <w:rPr>
                <w:rFonts w:hint="eastAsia" w:ascii="黑体" w:hAnsi="黑体" w:eastAsia="黑体" w:cs="黑体"/>
                <w:sz w:val="24"/>
                <w:lang w:val="zh-CN"/>
              </w:rPr>
            </w:pPr>
            <w:r>
              <w:rPr>
                <w:rFonts w:hint="eastAsia" w:ascii="黑体" w:hAnsi="黑体" w:eastAsia="黑体" w:cs="黑体"/>
                <w:sz w:val="24"/>
                <w:lang w:val="zh-CN"/>
              </w:rPr>
              <w:t>序号</w:t>
            </w:r>
          </w:p>
        </w:tc>
        <w:tc>
          <w:tcPr>
            <w:tcW w:w="1237" w:type="dxa"/>
            <w:vAlign w:val="center"/>
          </w:tcPr>
          <w:p w14:paraId="016553D7">
            <w:pPr>
              <w:autoSpaceDE w:val="0"/>
              <w:autoSpaceDN w:val="0"/>
              <w:adjustRightInd w:val="0"/>
              <w:jc w:val="center"/>
              <w:rPr>
                <w:rFonts w:hint="eastAsia" w:ascii="黑体" w:hAnsi="黑体" w:eastAsia="黑体" w:cs="黑体"/>
                <w:sz w:val="24"/>
              </w:rPr>
            </w:pPr>
            <w:r>
              <w:rPr>
                <w:rFonts w:hint="eastAsia" w:ascii="黑体" w:hAnsi="黑体" w:eastAsia="黑体" w:cs="黑体"/>
                <w:sz w:val="24"/>
                <w:lang w:val="zh-CN"/>
              </w:rPr>
              <w:t>指标项</w:t>
            </w:r>
          </w:p>
        </w:tc>
        <w:tc>
          <w:tcPr>
            <w:tcW w:w="6478" w:type="dxa"/>
            <w:vAlign w:val="center"/>
          </w:tcPr>
          <w:p w14:paraId="45224B16">
            <w:pPr>
              <w:autoSpaceDE w:val="0"/>
              <w:autoSpaceDN w:val="0"/>
              <w:adjustRightInd w:val="0"/>
              <w:rPr>
                <w:rFonts w:hint="eastAsia" w:ascii="黑体" w:hAnsi="黑体" w:eastAsia="黑体" w:cs="黑体"/>
                <w:sz w:val="24"/>
                <w:lang w:val="zh-CN"/>
              </w:rPr>
            </w:pPr>
            <w:r>
              <w:rPr>
                <w:rFonts w:hint="eastAsia" w:ascii="黑体" w:hAnsi="黑体" w:eastAsia="黑体" w:cs="黑体"/>
                <w:sz w:val="24"/>
                <w:lang w:val="zh-CN"/>
              </w:rPr>
              <w:t>技术要求</w:t>
            </w:r>
          </w:p>
        </w:tc>
        <w:tc>
          <w:tcPr>
            <w:tcW w:w="808" w:type="dxa"/>
            <w:vAlign w:val="center"/>
          </w:tcPr>
          <w:p w14:paraId="04C8AAED">
            <w:pPr>
              <w:autoSpaceDE w:val="0"/>
              <w:autoSpaceDN w:val="0"/>
              <w:adjustRightInd w:val="0"/>
              <w:jc w:val="center"/>
              <w:rPr>
                <w:rFonts w:hint="eastAsia" w:ascii="黑体" w:hAnsi="黑体" w:eastAsia="黑体" w:cs="黑体"/>
                <w:sz w:val="24"/>
                <w:lang w:val="zh-CN"/>
              </w:rPr>
            </w:pPr>
            <w:r>
              <w:rPr>
                <w:rFonts w:hint="eastAsia" w:ascii="黑体" w:hAnsi="黑体" w:eastAsia="黑体" w:cs="黑体"/>
                <w:sz w:val="24"/>
                <w:lang w:val="zh-CN"/>
              </w:rPr>
              <w:t>备注</w:t>
            </w:r>
          </w:p>
        </w:tc>
      </w:tr>
      <w:tr w14:paraId="70C6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5" w:hRule="atLeast"/>
          <w:jc w:val="center"/>
        </w:trPr>
        <w:tc>
          <w:tcPr>
            <w:tcW w:w="664" w:type="dxa"/>
            <w:vAlign w:val="center"/>
          </w:tcPr>
          <w:p w14:paraId="62B07BD4">
            <w:pPr>
              <w:jc w:val="center"/>
              <w:rPr>
                <w:rFonts w:ascii="宋体" w:hAnsi="宋体" w:cs="宋体"/>
                <w:bCs/>
                <w:sz w:val="24"/>
              </w:rPr>
            </w:pPr>
            <w:r>
              <w:rPr>
                <w:rFonts w:hint="eastAsia" w:ascii="宋体" w:hAnsi="宋体" w:cs="宋体"/>
                <w:bCs/>
                <w:sz w:val="24"/>
              </w:rPr>
              <w:t>1</w:t>
            </w:r>
          </w:p>
        </w:tc>
        <w:tc>
          <w:tcPr>
            <w:tcW w:w="1237" w:type="dxa"/>
            <w:vAlign w:val="center"/>
          </w:tcPr>
          <w:p w14:paraId="1431BA18">
            <w:pPr>
              <w:jc w:val="center"/>
              <w:rPr>
                <w:rFonts w:ascii="宋体" w:hAnsi="宋体" w:cs="宋体"/>
                <w:b/>
                <w:sz w:val="24"/>
              </w:rPr>
            </w:pPr>
            <w:r>
              <w:rPr>
                <w:rFonts w:hint="eastAsia" w:ascii="宋体" w:hAnsi="宋体" w:cs="宋体"/>
                <w:sz w:val="24"/>
              </w:rPr>
              <w:t>导演</w:t>
            </w:r>
          </w:p>
        </w:tc>
        <w:tc>
          <w:tcPr>
            <w:tcW w:w="6478" w:type="dxa"/>
            <w:vAlign w:val="center"/>
          </w:tcPr>
          <w:p w14:paraId="4C61CA95">
            <w:pPr>
              <w:autoSpaceDE w:val="0"/>
              <w:autoSpaceDN w:val="0"/>
              <w:adjustRightInd w:val="0"/>
              <w:ind w:firstLine="240" w:firstLineChars="100"/>
              <w:outlineLvl w:val="0"/>
              <w:rPr>
                <w:rFonts w:hint="eastAsia" w:ascii="宋体" w:hAnsi="宋体" w:cs="宋体"/>
                <w:sz w:val="24"/>
              </w:rPr>
            </w:pPr>
            <w:r>
              <w:rPr>
                <w:rFonts w:hint="eastAsia" w:ascii="宋体" w:hAnsi="宋体" w:cs="宋体"/>
                <w:sz w:val="24"/>
              </w:rPr>
              <w:t>1.总导演1名，具有全国二级（含）以上导演（编导）证书或二级（含）以上军队演员（编剧）证书（</w:t>
            </w:r>
            <w:r>
              <w:rPr>
                <w:rFonts w:hint="eastAsia" w:ascii="宋体" w:hAnsi="宋体" w:cs="宋体"/>
                <w:b/>
                <w:bCs/>
                <w:sz w:val="24"/>
              </w:rPr>
              <w:t>提供证书复印件加盖供应商公章</w:t>
            </w:r>
            <w:r>
              <w:rPr>
                <w:rFonts w:hint="eastAsia" w:ascii="宋体" w:hAnsi="宋体" w:cs="宋体"/>
                <w:sz w:val="24"/>
              </w:rPr>
              <w:t>）；</w:t>
            </w:r>
          </w:p>
          <w:p w14:paraId="7E9545F9">
            <w:pPr>
              <w:autoSpaceDE w:val="0"/>
              <w:autoSpaceDN w:val="0"/>
              <w:adjustRightInd w:val="0"/>
              <w:ind w:firstLine="240" w:firstLineChars="100"/>
              <w:outlineLvl w:val="0"/>
              <w:rPr>
                <w:rFonts w:ascii="宋体" w:hAnsi="宋体" w:cs="宋体"/>
                <w:sz w:val="24"/>
              </w:rPr>
            </w:pPr>
            <w:r>
              <w:rPr>
                <w:rFonts w:hint="eastAsia" w:ascii="宋体" w:hAnsi="宋体" w:cs="宋体"/>
                <w:sz w:val="24"/>
              </w:rPr>
              <w:t>2.总导演担任过专业文艺团体艺术指导、编创、导演经历。具有深厚话剧或歌剧、舞剧的艺术指导，编创，导演功底，有类似活动的案例。对部队文化、文艺较为了解，有较好的创作灵感、沟通能力；</w:t>
            </w:r>
          </w:p>
          <w:p w14:paraId="7161D4AD">
            <w:pPr>
              <w:ind w:firstLine="240" w:firstLineChars="100"/>
              <w:rPr>
                <w:rFonts w:ascii="宋体" w:hAnsi="宋体" w:cs="宋体"/>
                <w:b/>
                <w:sz w:val="24"/>
              </w:rPr>
            </w:pPr>
            <w:r>
              <w:rPr>
                <w:rFonts w:hint="eastAsia" w:ascii="宋体" w:hAnsi="宋体" w:cs="宋体"/>
                <w:sz w:val="24"/>
              </w:rPr>
              <w:t>3.演出工作，导演根据采购人要求及台本内容进行审查修改、舞台调度、上台合成、训练走台、全场全要素联排、彩排、演出等工作。</w:t>
            </w:r>
          </w:p>
        </w:tc>
        <w:tc>
          <w:tcPr>
            <w:tcW w:w="808" w:type="dxa"/>
            <w:vAlign w:val="center"/>
          </w:tcPr>
          <w:p w14:paraId="086B6549">
            <w:pPr>
              <w:jc w:val="center"/>
              <w:rPr>
                <w:rFonts w:ascii="宋体" w:hAnsi="宋体" w:cs="宋体"/>
                <w:b/>
                <w:sz w:val="24"/>
              </w:rPr>
            </w:pPr>
          </w:p>
        </w:tc>
      </w:tr>
      <w:tr w14:paraId="69D9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2" w:hRule="atLeast"/>
          <w:jc w:val="center"/>
        </w:trPr>
        <w:tc>
          <w:tcPr>
            <w:tcW w:w="664" w:type="dxa"/>
            <w:vAlign w:val="center"/>
          </w:tcPr>
          <w:p w14:paraId="3C1683A1">
            <w:pPr>
              <w:jc w:val="center"/>
              <w:rPr>
                <w:rFonts w:hint="eastAsia" w:ascii="宋体" w:hAnsi="宋体" w:cs="宋体"/>
                <w:bCs/>
                <w:sz w:val="24"/>
              </w:rPr>
            </w:pPr>
            <w:r>
              <w:rPr>
                <w:rFonts w:hint="eastAsia" w:ascii="宋体" w:hAnsi="宋体" w:cs="宋体"/>
                <w:bCs/>
                <w:sz w:val="24"/>
              </w:rPr>
              <w:t>2</w:t>
            </w:r>
          </w:p>
        </w:tc>
        <w:tc>
          <w:tcPr>
            <w:tcW w:w="1237" w:type="dxa"/>
            <w:vAlign w:val="center"/>
          </w:tcPr>
          <w:p w14:paraId="7D1586B6">
            <w:pPr>
              <w:jc w:val="center"/>
              <w:rPr>
                <w:rFonts w:hint="eastAsia" w:ascii="宋体" w:hAnsi="宋体" w:cs="宋体"/>
                <w:b/>
                <w:sz w:val="24"/>
              </w:rPr>
            </w:pPr>
            <w:r>
              <w:rPr>
                <w:rFonts w:hint="eastAsia" w:ascii="宋体" w:hAnsi="宋体" w:cs="宋体"/>
                <w:bCs/>
                <w:sz w:val="24"/>
              </w:rPr>
              <w:t>灯光保障团队</w:t>
            </w:r>
          </w:p>
        </w:tc>
        <w:tc>
          <w:tcPr>
            <w:tcW w:w="6478" w:type="dxa"/>
            <w:vAlign w:val="center"/>
          </w:tcPr>
          <w:p w14:paraId="2D7A62C6">
            <w:pPr>
              <w:autoSpaceDE w:val="0"/>
              <w:autoSpaceDN w:val="0"/>
              <w:adjustRightInd w:val="0"/>
              <w:ind w:firstLine="240" w:firstLineChars="100"/>
              <w:outlineLvl w:val="0"/>
              <w:rPr>
                <w:rFonts w:ascii="宋体" w:hAnsi="宋体" w:cs="宋体"/>
                <w:sz w:val="24"/>
              </w:rPr>
            </w:pPr>
            <w:r>
              <w:rPr>
                <w:rFonts w:hint="eastAsia" w:ascii="宋体" w:hAnsi="宋体" w:cs="宋体"/>
                <w:sz w:val="24"/>
              </w:rPr>
              <w:t>1.</w:t>
            </w:r>
            <w:r>
              <w:rPr>
                <w:rFonts w:hint="eastAsia" w:ascii="宋体" w:hAnsi="宋体" w:cs="宋体"/>
                <w:bCs/>
                <w:sz w:val="24"/>
              </w:rPr>
              <w:t>灯光设计师至少1名，</w:t>
            </w:r>
            <w:r>
              <w:rPr>
                <w:rFonts w:hint="eastAsia" w:ascii="宋体" w:hAnsi="宋体" w:cs="宋体"/>
                <w:sz w:val="24"/>
              </w:rPr>
              <w:t>具有舞台灯光师（含）以上证书或二级（含）以上舞台技术（师）或军队</w:t>
            </w:r>
            <w:r>
              <w:rPr>
                <w:rFonts w:hint="eastAsia" w:ascii="宋体" w:hAnsi="宋体" w:cs="宋体"/>
                <w:color w:val="000000"/>
                <w:sz w:val="24"/>
                <w:shd w:val="clear" w:color="auto" w:fill="FFFFFF"/>
              </w:rPr>
              <w:t>舞台技师</w:t>
            </w:r>
            <w:r>
              <w:rPr>
                <w:rFonts w:hint="eastAsia" w:ascii="宋体" w:hAnsi="宋体" w:cs="宋体"/>
                <w:sz w:val="24"/>
              </w:rPr>
              <w:t>（含）以上</w:t>
            </w:r>
            <w:r>
              <w:rPr>
                <w:rFonts w:hint="eastAsia" w:ascii="宋体" w:hAnsi="宋体" w:cs="宋体"/>
                <w:color w:val="000000"/>
                <w:sz w:val="24"/>
                <w:shd w:val="clear" w:color="auto" w:fill="FFFFFF"/>
              </w:rPr>
              <w:t>证书</w:t>
            </w:r>
            <w:r>
              <w:rPr>
                <w:rFonts w:hint="eastAsia" w:ascii="宋体" w:hAnsi="宋体" w:cs="宋体"/>
                <w:sz w:val="24"/>
              </w:rPr>
              <w:t>（</w:t>
            </w:r>
            <w:r>
              <w:rPr>
                <w:rFonts w:hint="eastAsia" w:ascii="宋体" w:hAnsi="宋体" w:cs="宋体"/>
                <w:b/>
                <w:bCs/>
                <w:sz w:val="24"/>
              </w:rPr>
              <w:t>提供证书复印件加盖供应商公章</w:t>
            </w:r>
            <w:r>
              <w:rPr>
                <w:rFonts w:hint="eastAsia" w:ascii="宋体" w:hAnsi="宋体" w:cs="宋体"/>
                <w:sz w:val="24"/>
              </w:rPr>
              <w:t>）；</w:t>
            </w:r>
          </w:p>
          <w:p w14:paraId="090A1CB9">
            <w:pPr>
              <w:autoSpaceDE w:val="0"/>
              <w:autoSpaceDN w:val="0"/>
              <w:adjustRightInd w:val="0"/>
              <w:ind w:firstLine="240" w:firstLineChars="100"/>
              <w:outlineLvl w:val="0"/>
              <w:rPr>
                <w:rFonts w:ascii="宋体" w:hAnsi="宋体" w:cs="宋体"/>
                <w:sz w:val="24"/>
              </w:rPr>
            </w:pPr>
            <w:r>
              <w:rPr>
                <w:rFonts w:hint="eastAsia" w:ascii="宋体" w:hAnsi="宋体" w:cs="宋体"/>
                <w:sz w:val="24"/>
              </w:rPr>
              <w:t>2.具有话剧灯光或歌剧、舞剧灯光设计功底，对部队文化、文艺较为了解，有较好的创作灵感、沟通能力，能熟练操控调光台，灯光设计应满足现场观看和电视录像的要求；</w:t>
            </w:r>
          </w:p>
          <w:p w14:paraId="5C418533">
            <w:pPr>
              <w:autoSpaceDE w:val="0"/>
              <w:autoSpaceDN w:val="0"/>
              <w:adjustRightInd w:val="0"/>
              <w:ind w:firstLine="240" w:firstLineChars="100"/>
              <w:outlineLvl w:val="0"/>
              <w:rPr>
                <w:rFonts w:hint="eastAsia" w:ascii="宋体" w:hAnsi="宋体" w:cs="宋体"/>
                <w:sz w:val="24"/>
              </w:rPr>
            </w:pPr>
            <w:r>
              <w:rPr>
                <w:rFonts w:hint="eastAsia" w:ascii="宋体" w:hAnsi="宋体" w:cs="宋体"/>
                <w:sz w:val="24"/>
              </w:rPr>
              <w:t>3.灯光设备进场后中间不能更换其他灯光师接替工作；灯光师水平达不到要求，采购人有权要求成交供应商更换达标灯光师或成交供应商按采购人要求另安排高水平灯光设计指导。</w:t>
            </w:r>
          </w:p>
        </w:tc>
        <w:tc>
          <w:tcPr>
            <w:tcW w:w="808" w:type="dxa"/>
          </w:tcPr>
          <w:p w14:paraId="6B0F4BD9">
            <w:pPr>
              <w:rPr>
                <w:rFonts w:ascii="宋体" w:hAnsi="宋体" w:cs="宋体"/>
                <w:b/>
                <w:sz w:val="24"/>
              </w:rPr>
            </w:pPr>
          </w:p>
        </w:tc>
      </w:tr>
      <w:tr w14:paraId="7F71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vAlign w:val="center"/>
          </w:tcPr>
          <w:p w14:paraId="014E91DF">
            <w:pPr>
              <w:jc w:val="center"/>
              <w:rPr>
                <w:rFonts w:hint="eastAsia" w:ascii="宋体" w:hAnsi="宋体" w:cs="宋体"/>
                <w:bCs/>
                <w:sz w:val="24"/>
              </w:rPr>
            </w:pPr>
            <w:r>
              <w:rPr>
                <w:rFonts w:hint="eastAsia" w:ascii="宋体" w:hAnsi="宋体" w:cs="宋体"/>
                <w:bCs/>
                <w:sz w:val="24"/>
              </w:rPr>
              <w:t>3</w:t>
            </w:r>
          </w:p>
        </w:tc>
        <w:tc>
          <w:tcPr>
            <w:tcW w:w="1237" w:type="dxa"/>
            <w:vAlign w:val="center"/>
          </w:tcPr>
          <w:p w14:paraId="336FBEDA">
            <w:pPr>
              <w:jc w:val="center"/>
              <w:rPr>
                <w:rFonts w:hint="eastAsia" w:ascii="宋体" w:hAnsi="宋体" w:cs="宋体"/>
                <w:bCs/>
                <w:sz w:val="24"/>
              </w:rPr>
            </w:pPr>
            <w:r>
              <w:rPr>
                <w:rFonts w:hint="eastAsia" w:ascii="宋体" w:hAnsi="宋体" w:cs="宋体"/>
                <w:bCs/>
                <w:sz w:val="24"/>
              </w:rPr>
              <w:t>音响保障团队</w:t>
            </w:r>
          </w:p>
        </w:tc>
        <w:tc>
          <w:tcPr>
            <w:tcW w:w="6478" w:type="dxa"/>
            <w:vAlign w:val="center"/>
          </w:tcPr>
          <w:p w14:paraId="22EF50F3">
            <w:pPr>
              <w:autoSpaceDE w:val="0"/>
              <w:autoSpaceDN w:val="0"/>
              <w:adjustRightInd w:val="0"/>
              <w:ind w:firstLine="240" w:firstLineChars="100"/>
              <w:outlineLvl w:val="0"/>
              <w:rPr>
                <w:rFonts w:ascii="宋体" w:hAnsi="宋体" w:cs="宋体"/>
                <w:sz w:val="24"/>
              </w:rPr>
            </w:pPr>
            <w:r>
              <w:rPr>
                <w:rFonts w:hint="eastAsia" w:ascii="宋体" w:hAnsi="宋体" w:cs="宋体"/>
                <w:bCs/>
                <w:sz w:val="24"/>
              </w:rPr>
              <w:t>1.音响设计师1名，</w:t>
            </w:r>
            <w:r>
              <w:rPr>
                <w:rFonts w:hint="eastAsia" w:ascii="宋体" w:hAnsi="宋体" w:cs="宋体"/>
                <w:sz w:val="24"/>
              </w:rPr>
              <w:t>具有舞台音响师（含）以上或二级（含）以上舞台技术（师）或军队</w:t>
            </w:r>
            <w:r>
              <w:rPr>
                <w:rFonts w:hint="eastAsia" w:ascii="宋体" w:hAnsi="宋体" w:cs="宋体"/>
                <w:color w:val="000000"/>
                <w:sz w:val="24"/>
                <w:shd w:val="clear" w:color="auto" w:fill="FFFFFF"/>
              </w:rPr>
              <w:t>舞台技师</w:t>
            </w:r>
            <w:r>
              <w:rPr>
                <w:rFonts w:hint="eastAsia" w:ascii="宋体" w:hAnsi="宋体" w:cs="宋体"/>
                <w:sz w:val="24"/>
              </w:rPr>
              <w:t>（含）以上</w:t>
            </w:r>
            <w:r>
              <w:rPr>
                <w:rFonts w:hint="eastAsia" w:ascii="宋体" w:hAnsi="宋体" w:cs="宋体"/>
                <w:color w:val="000000"/>
                <w:sz w:val="24"/>
                <w:shd w:val="clear" w:color="auto" w:fill="FFFFFF"/>
              </w:rPr>
              <w:t>证书</w:t>
            </w:r>
            <w:r>
              <w:rPr>
                <w:rFonts w:hint="eastAsia" w:ascii="宋体" w:hAnsi="宋体" w:cs="宋体"/>
                <w:sz w:val="24"/>
              </w:rPr>
              <w:t>（</w:t>
            </w:r>
            <w:r>
              <w:rPr>
                <w:rFonts w:hint="eastAsia" w:ascii="宋体" w:hAnsi="宋体" w:cs="宋体"/>
                <w:b/>
                <w:bCs/>
                <w:sz w:val="24"/>
              </w:rPr>
              <w:t>提供证书复印件加盖供应商公章</w:t>
            </w:r>
            <w:r>
              <w:rPr>
                <w:rFonts w:hint="eastAsia" w:ascii="宋体" w:hAnsi="宋体" w:cs="宋体"/>
                <w:sz w:val="24"/>
              </w:rPr>
              <w:t>）；</w:t>
            </w:r>
          </w:p>
          <w:p w14:paraId="06CF87F1">
            <w:pPr>
              <w:autoSpaceDE w:val="0"/>
              <w:autoSpaceDN w:val="0"/>
              <w:adjustRightInd w:val="0"/>
              <w:ind w:firstLine="240" w:firstLineChars="100"/>
              <w:outlineLvl w:val="0"/>
              <w:rPr>
                <w:rFonts w:ascii="宋体" w:hAnsi="宋体" w:cs="宋体"/>
                <w:sz w:val="24"/>
              </w:rPr>
            </w:pPr>
            <w:r>
              <w:rPr>
                <w:rFonts w:hint="eastAsia" w:ascii="宋体" w:hAnsi="宋体" w:cs="宋体"/>
                <w:sz w:val="24"/>
              </w:rPr>
              <w:t>2.具有话剧、歌剧或舞剧音响设计功底，对部队文化、文艺较为了解，有较好的创作灵感。</w:t>
            </w:r>
          </w:p>
          <w:p w14:paraId="799E2656">
            <w:pPr>
              <w:autoSpaceDE w:val="0"/>
              <w:autoSpaceDN w:val="0"/>
              <w:adjustRightInd w:val="0"/>
              <w:ind w:firstLine="240" w:firstLineChars="100"/>
              <w:outlineLvl w:val="0"/>
              <w:rPr>
                <w:rFonts w:hint="eastAsia" w:ascii="宋体" w:hAnsi="宋体" w:cs="宋体"/>
                <w:sz w:val="24"/>
              </w:rPr>
            </w:pPr>
            <w:r>
              <w:rPr>
                <w:rFonts w:hint="eastAsia" w:ascii="宋体" w:hAnsi="宋体" w:cs="宋体"/>
                <w:bCs/>
                <w:sz w:val="24"/>
              </w:rPr>
              <w:t>3.音响和视频保障人员2名，</w:t>
            </w:r>
            <w:r>
              <w:rPr>
                <w:rFonts w:hint="eastAsia" w:ascii="宋体" w:hAnsi="宋体" w:cs="宋体"/>
                <w:sz w:val="24"/>
              </w:rPr>
              <w:t>有5年以上音响经验，对舞台文艺有基本理解能力。配合音响设计师工作和处理一些技术问题，责任心强，安全意识强，稳重踏实。</w:t>
            </w:r>
          </w:p>
        </w:tc>
        <w:tc>
          <w:tcPr>
            <w:tcW w:w="808" w:type="dxa"/>
          </w:tcPr>
          <w:p w14:paraId="1B240725">
            <w:pPr>
              <w:rPr>
                <w:rFonts w:ascii="宋体" w:hAnsi="宋体" w:cs="宋体"/>
                <w:b/>
                <w:sz w:val="24"/>
              </w:rPr>
            </w:pPr>
          </w:p>
        </w:tc>
      </w:tr>
      <w:tr w14:paraId="600F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vAlign w:val="center"/>
          </w:tcPr>
          <w:p w14:paraId="765B19D6">
            <w:pPr>
              <w:jc w:val="center"/>
              <w:rPr>
                <w:rFonts w:hint="eastAsia" w:ascii="宋体" w:hAnsi="宋体" w:cs="宋体"/>
                <w:bCs/>
                <w:sz w:val="24"/>
              </w:rPr>
            </w:pPr>
            <w:r>
              <w:rPr>
                <w:rFonts w:hint="eastAsia" w:ascii="宋体" w:hAnsi="宋体" w:cs="宋体"/>
                <w:bCs/>
                <w:sz w:val="24"/>
              </w:rPr>
              <w:t>4</w:t>
            </w:r>
          </w:p>
        </w:tc>
        <w:tc>
          <w:tcPr>
            <w:tcW w:w="1237" w:type="dxa"/>
            <w:vAlign w:val="center"/>
          </w:tcPr>
          <w:p w14:paraId="3147DF2E">
            <w:pPr>
              <w:jc w:val="center"/>
              <w:rPr>
                <w:rFonts w:hint="eastAsia" w:ascii="宋体" w:hAnsi="宋体" w:cs="宋体"/>
                <w:bCs/>
                <w:sz w:val="24"/>
              </w:rPr>
            </w:pPr>
            <w:r>
              <w:rPr>
                <w:rFonts w:hint="eastAsia" w:ascii="宋体" w:hAnsi="宋体" w:cs="宋体"/>
                <w:sz w:val="24"/>
              </w:rPr>
              <w:t>化妆保障团队</w:t>
            </w:r>
          </w:p>
        </w:tc>
        <w:tc>
          <w:tcPr>
            <w:tcW w:w="6478" w:type="dxa"/>
            <w:vAlign w:val="center"/>
          </w:tcPr>
          <w:p w14:paraId="3D2291A3">
            <w:pPr>
              <w:ind w:firstLine="240" w:firstLineChars="100"/>
              <w:rPr>
                <w:rFonts w:hint="eastAsia" w:ascii="宋体" w:hAnsi="宋体" w:cs="宋体"/>
                <w:sz w:val="24"/>
              </w:rPr>
            </w:pPr>
            <w:r>
              <w:rPr>
                <w:rFonts w:hint="eastAsia" w:ascii="宋体" w:hAnsi="宋体" w:cs="宋体"/>
                <w:sz w:val="24"/>
              </w:rPr>
              <w:t>1.化妆设计师至少1名，具有二级（含）以上化妆师或造型师或二级（含）以上舞台技术（师）或军队舞台技师（含）以上证书（</w:t>
            </w:r>
            <w:r>
              <w:rPr>
                <w:rFonts w:hint="eastAsia" w:ascii="宋体" w:hAnsi="宋体" w:cs="宋体"/>
                <w:b/>
                <w:bCs/>
                <w:sz w:val="24"/>
              </w:rPr>
              <w:t>提供证书复印件加盖供应商公章</w:t>
            </w:r>
            <w:r>
              <w:rPr>
                <w:rFonts w:hint="eastAsia" w:ascii="宋体" w:hAnsi="宋体" w:cs="宋体"/>
                <w:sz w:val="24"/>
              </w:rPr>
              <w:t>）。</w:t>
            </w:r>
          </w:p>
          <w:p w14:paraId="63538D03">
            <w:pPr>
              <w:ind w:firstLine="240" w:firstLineChars="100"/>
              <w:rPr>
                <w:rFonts w:hint="eastAsia" w:ascii="宋体" w:hAnsi="宋体" w:cs="宋体"/>
                <w:sz w:val="24"/>
              </w:rPr>
            </w:pPr>
            <w:r>
              <w:rPr>
                <w:rFonts w:hint="eastAsia" w:ascii="宋体" w:hAnsi="宋体" w:cs="宋体"/>
                <w:sz w:val="24"/>
              </w:rPr>
              <w:t>2.化妆师具有电视化妆设计工作经验，具有担任专业文艺团体的舞台化妆设计经历；</w:t>
            </w:r>
          </w:p>
          <w:p w14:paraId="1BD301B9">
            <w:pPr>
              <w:ind w:firstLine="240" w:firstLineChars="100"/>
              <w:rPr>
                <w:rFonts w:ascii="宋体" w:hAnsi="宋体" w:cs="宋体"/>
                <w:sz w:val="24"/>
              </w:rPr>
            </w:pPr>
            <w:r>
              <w:rPr>
                <w:rFonts w:hint="eastAsia" w:ascii="宋体" w:hAnsi="宋体" w:cs="宋体"/>
                <w:sz w:val="24"/>
              </w:rPr>
              <w:t>3.具有话剧、歌剧、舞剧化妆设计功底，对部队文化、文艺创作较为了解，有较好创作基础、沟通能力；</w:t>
            </w:r>
          </w:p>
          <w:p w14:paraId="27D59F7E">
            <w:pPr>
              <w:ind w:firstLine="240" w:firstLineChars="100"/>
              <w:rPr>
                <w:rFonts w:ascii="宋体" w:hAnsi="宋体" w:cs="宋体"/>
                <w:sz w:val="24"/>
              </w:rPr>
            </w:pPr>
            <w:r>
              <w:rPr>
                <w:rFonts w:hint="eastAsia" w:ascii="宋体" w:hAnsi="宋体" w:cs="宋体"/>
                <w:sz w:val="24"/>
              </w:rPr>
              <w:t>4.化妆保障人员不少于3人，有5年以上化妆经验，对舞台文艺有基本理解。配合化妆设计师工作和处理一些化妆问题，责任心强，沟通能力较好。</w:t>
            </w:r>
          </w:p>
        </w:tc>
        <w:tc>
          <w:tcPr>
            <w:tcW w:w="808" w:type="dxa"/>
          </w:tcPr>
          <w:p w14:paraId="42C8C8D1">
            <w:pPr>
              <w:rPr>
                <w:rFonts w:ascii="宋体" w:hAnsi="宋体" w:cs="宋体"/>
                <w:b/>
                <w:sz w:val="24"/>
              </w:rPr>
            </w:pPr>
          </w:p>
        </w:tc>
      </w:tr>
      <w:tr w14:paraId="3AC0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664" w:type="dxa"/>
            <w:vAlign w:val="center"/>
          </w:tcPr>
          <w:p w14:paraId="5188721D">
            <w:pPr>
              <w:jc w:val="center"/>
              <w:rPr>
                <w:rFonts w:hint="eastAsia" w:ascii="宋体" w:hAnsi="宋体" w:cs="宋体"/>
                <w:bCs/>
                <w:sz w:val="24"/>
              </w:rPr>
            </w:pPr>
            <w:r>
              <w:rPr>
                <w:rFonts w:hint="eastAsia" w:ascii="宋体" w:hAnsi="宋体" w:cs="宋体"/>
                <w:bCs/>
                <w:sz w:val="24"/>
              </w:rPr>
              <w:t>5</w:t>
            </w:r>
          </w:p>
        </w:tc>
        <w:tc>
          <w:tcPr>
            <w:tcW w:w="1237" w:type="dxa"/>
            <w:vAlign w:val="center"/>
          </w:tcPr>
          <w:p w14:paraId="2CD8D582">
            <w:pPr>
              <w:jc w:val="center"/>
              <w:rPr>
                <w:rFonts w:ascii="宋体" w:hAnsi="宋体" w:cs="宋体"/>
                <w:bCs/>
                <w:sz w:val="24"/>
              </w:rPr>
            </w:pPr>
            <w:r>
              <w:rPr>
                <w:rFonts w:hint="eastAsia" w:ascii="宋体" w:hAnsi="宋体" w:cs="宋体"/>
                <w:bCs/>
                <w:sz w:val="24"/>
              </w:rPr>
              <w:t>灯光</w:t>
            </w:r>
          </w:p>
          <w:p w14:paraId="053998AF">
            <w:pPr>
              <w:jc w:val="center"/>
              <w:rPr>
                <w:rFonts w:hint="eastAsia" w:ascii="宋体" w:hAnsi="宋体" w:cs="宋体"/>
                <w:sz w:val="24"/>
              </w:rPr>
            </w:pPr>
            <w:r>
              <w:rPr>
                <w:rFonts w:hint="eastAsia" w:ascii="宋体" w:hAnsi="宋体" w:cs="宋体"/>
                <w:bCs/>
                <w:sz w:val="24"/>
              </w:rPr>
              <w:t>设备（租赁）</w:t>
            </w:r>
          </w:p>
        </w:tc>
        <w:tc>
          <w:tcPr>
            <w:tcW w:w="6478" w:type="dxa"/>
            <w:vAlign w:val="center"/>
          </w:tcPr>
          <w:p w14:paraId="4A0B9464">
            <w:pPr>
              <w:ind w:firstLine="240" w:firstLineChars="100"/>
              <w:rPr>
                <w:rFonts w:ascii="宋体" w:hAnsi="宋体" w:cs="宋体"/>
                <w:sz w:val="24"/>
              </w:rPr>
            </w:pPr>
            <w:r>
              <w:rPr>
                <w:rFonts w:hint="eastAsia" w:ascii="宋体" w:hAnsi="宋体" w:cs="宋体"/>
                <w:sz w:val="24"/>
              </w:rPr>
              <w:t>1.</w:t>
            </w:r>
            <w:r>
              <w:rPr>
                <w:rFonts w:hint="eastAsia" w:ascii="宋体" w:hAnsi="宋体" w:cs="宋体"/>
                <w:bCs/>
                <w:sz w:val="24"/>
              </w:rPr>
              <w:t>灯光调光台1台，</w:t>
            </w:r>
            <w:r>
              <w:rPr>
                <w:rFonts w:hint="eastAsia" w:ascii="宋体" w:hAnsi="宋体" w:cs="宋体"/>
                <w:sz w:val="24"/>
              </w:rPr>
              <w:t>三个以上显示屏，性能稳定，主场前1周加备份；</w:t>
            </w:r>
          </w:p>
          <w:p w14:paraId="03EEC60B">
            <w:pPr>
              <w:ind w:firstLine="240" w:firstLineChars="100"/>
              <w:rPr>
                <w:rFonts w:ascii="宋体" w:hAnsi="宋体" w:cs="宋体"/>
                <w:sz w:val="24"/>
              </w:rPr>
            </w:pPr>
            <w:r>
              <w:rPr>
                <w:rFonts w:hint="eastAsia" w:ascii="宋体" w:hAnsi="宋体" w:cs="宋体"/>
                <w:bCs/>
                <w:sz w:val="24"/>
              </w:rPr>
              <w:t>2.NPU解码器不少于1台，</w:t>
            </w:r>
            <w:r>
              <w:rPr>
                <w:rFonts w:hint="eastAsia" w:ascii="宋体" w:hAnsi="宋体" w:cs="宋体"/>
                <w:sz w:val="24"/>
              </w:rPr>
              <w:t>与调光台配套，性能稳定，主场前1周加备份，DMX512放大器由中标公司视情况自带。</w:t>
            </w:r>
          </w:p>
          <w:p w14:paraId="4D851E49">
            <w:pPr>
              <w:ind w:firstLine="240" w:firstLineChars="100"/>
              <w:rPr>
                <w:rFonts w:ascii="宋体" w:hAnsi="宋体" w:cs="宋体"/>
                <w:sz w:val="24"/>
              </w:rPr>
            </w:pPr>
            <w:r>
              <w:rPr>
                <w:rFonts w:hint="eastAsia" w:ascii="宋体" w:hAnsi="宋体" w:cs="宋体"/>
                <w:sz w:val="24"/>
              </w:rPr>
              <w:t>3.</w:t>
            </w:r>
            <w:r>
              <w:rPr>
                <w:rFonts w:hint="eastAsia" w:ascii="宋体" w:hAnsi="宋体" w:cs="宋体"/>
                <w:bCs/>
                <w:sz w:val="24"/>
              </w:rPr>
              <w:t>LED电脑染色灯不少于26台，</w:t>
            </w:r>
            <w:r>
              <w:rPr>
                <w:rFonts w:hint="eastAsia" w:ascii="宋体" w:hAnsi="宋体" w:cs="宋体"/>
                <w:bCs/>
                <w:sz w:val="24"/>
                <w:lang w:val="en-US" w:eastAsia="zh-CN"/>
              </w:rPr>
              <w:t>280W</w:t>
            </w:r>
            <w:r>
              <w:rPr>
                <w:rFonts w:hint="eastAsia" w:ascii="宋体" w:hAnsi="宋体" w:cs="宋体"/>
                <w:sz w:val="24"/>
              </w:rPr>
              <w:t>光源: 37x20W RGBW LED 灯珠,分三圈控制CTO色温调节(2500K-8000K)。</w:t>
            </w:r>
          </w:p>
          <w:p w14:paraId="16D494E3">
            <w:pPr>
              <w:ind w:firstLine="240" w:firstLineChars="100"/>
              <w:rPr>
                <w:rFonts w:ascii="宋体" w:hAnsi="宋体" w:cs="宋体"/>
                <w:sz w:val="24"/>
              </w:rPr>
            </w:pPr>
            <w:r>
              <w:rPr>
                <w:rFonts w:hint="eastAsia" w:ascii="宋体" w:hAnsi="宋体" w:cs="宋体"/>
                <w:bCs/>
                <w:sz w:val="24"/>
              </w:rPr>
              <w:t>4.切割电脑灯不少于26台，</w:t>
            </w:r>
            <w:r>
              <w:rPr>
                <w:rFonts w:hint="eastAsia" w:ascii="宋体" w:hAnsi="宋体" w:cs="宋体"/>
                <w:bCs/>
                <w:sz w:val="24"/>
                <w:lang w:val="en-US" w:eastAsia="zh-CN"/>
              </w:rPr>
              <w:t>1400W</w:t>
            </w:r>
            <w:r>
              <w:rPr>
                <w:rFonts w:hint="eastAsia" w:ascii="宋体" w:hAnsi="宋体" w:cs="宋体"/>
                <w:sz w:val="24"/>
              </w:rPr>
              <w:t>在高清摄像机下无闪烁，光源光衰少，确保亮度一致性好。</w:t>
            </w:r>
          </w:p>
          <w:p w14:paraId="5153D3DA">
            <w:pPr>
              <w:ind w:firstLine="240" w:firstLineChars="100"/>
              <w:rPr>
                <w:rFonts w:hint="eastAsia" w:ascii="宋体" w:hAnsi="宋体" w:cs="宋体"/>
                <w:sz w:val="24"/>
              </w:rPr>
            </w:pPr>
            <w:r>
              <w:rPr>
                <w:rFonts w:hint="eastAsia" w:ascii="宋体" w:hAnsi="宋体" w:cs="宋体"/>
                <w:bCs/>
                <w:sz w:val="24"/>
              </w:rPr>
              <w:t>5.光束电脑灯（BM)不少于42台，</w:t>
            </w:r>
            <w:r>
              <w:rPr>
                <w:rFonts w:hint="eastAsia" w:ascii="宋体" w:hAnsi="宋体" w:cs="宋体"/>
                <w:sz w:val="24"/>
              </w:rPr>
              <w:t>光源光衰少，确保亮度一致性好，光柱及光斑无明显聚焦点，双图案轮；</w:t>
            </w:r>
          </w:p>
          <w:p w14:paraId="69B809B6">
            <w:pPr>
              <w:ind w:firstLine="240" w:firstLineChars="100"/>
              <w:rPr>
                <w:rFonts w:hint="eastAsia" w:ascii="宋体" w:hAnsi="宋体" w:cs="宋体"/>
                <w:sz w:val="24"/>
              </w:rPr>
            </w:pPr>
            <w:r>
              <w:rPr>
                <w:rFonts w:hint="eastAsia" w:ascii="宋体" w:hAnsi="宋体" w:cs="宋体"/>
                <w:bCs/>
                <w:sz w:val="24"/>
              </w:rPr>
              <w:t>6.雾机不少于2台，</w:t>
            </w:r>
            <w:r>
              <w:rPr>
                <w:rFonts w:hint="eastAsia" w:ascii="宋体" w:hAnsi="宋体" w:cs="宋体"/>
                <w:sz w:val="24"/>
              </w:rPr>
              <w:t>配高端烟油；</w:t>
            </w:r>
          </w:p>
        </w:tc>
        <w:tc>
          <w:tcPr>
            <w:tcW w:w="808" w:type="dxa"/>
          </w:tcPr>
          <w:p w14:paraId="1814CE90">
            <w:pPr>
              <w:jc w:val="center"/>
              <w:rPr>
                <w:rFonts w:ascii="宋体" w:hAnsi="宋体" w:cs="宋体"/>
                <w:b/>
                <w:sz w:val="24"/>
              </w:rPr>
            </w:pPr>
          </w:p>
        </w:tc>
      </w:tr>
      <w:tr w14:paraId="1020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664" w:type="dxa"/>
            <w:vAlign w:val="center"/>
          </w:tcPr>
          <w:p w14:paraId="568299F5">
            <w:pPr>
              <w:jc w:val="center"/>
              <w:rPr>
                <w:rFonts w:hint="eastAsia" w:ascii="宋体" w:hAnsi="宋体" w:cs="宋体"/>
                <w:bCs/>
                <w:sz w:val="24"/>
              </w:rPr>
            </w:pPr>
            <w:r>
              <w:rPr>
                <w:rFonts w:hint="eastAsia" w:ascii="宋体" w:hAnsi="宋体" w:cs="宋体"/>
                <w:bCs/>
                <w:sz w:val="24"/>
              </w:rPr>
              <w:t>6</w:t>
            </w:r>
          </w:p>
        </w:tc>
        <w:tc>
          <w:tcPr>
            <w:tcW w:w="1237" w:type="dxa"/>
            <w:vAlign w:val="center"/>
          </w:tcPr>
          <w:p w14:paraId="7B0B3905">
            <w:pPr>
              <w:jc w:val="center"/>
              <w:rPr>
                <w:rFonts w:ascii="宋体" w:hAnsi="宋体" w:cs="宋体"/>
                <w:bCs/>
                <w:sz w:val="24"/>
              </w:rPr>
            </w:pPr>
            <w:r>
              <w:rPr>
                <w:rFonts w:hint="eastAsia" w:ascii="宋体" w:hAnsi="宋体" w:cs="宋体"/>
                <w:bCs/>
                <w:sz w:val="24"/>
              </w:rPr>
              <w:t>音响</w:t>
            </w:r>
          </w:p>
          <w:p w14:paraId="0AEAB6B2">
            <w:pPr>
              <w:jc w:val="center"/>
              <w:rPr>
                <w:rFonts w:hint="eastAsia" w:ascii="宋体" w:hAnsi="宋体" w:cs="宋体"/>
                <w:bCs/>
                <w:sz w:val="24"/>
              </w:rPr>
            </w:pPr>
            <w:r>
              <w:rPr>
                <w:rFonts w:hint="eastAsia" w:ascii="宋体" w:hAnsi="宋体" w:cs="宋体"/>
                <w:bCs/>
                <w:sz w:val="24"/>
              </w:rPr>
              <w:t>设备（租赁）</w:t>
            </w:r>
          </w:p>
        </w:tc>
        <w:tc>
          <w:tcPr>
            <w:tcW w:w="6478" w:type="dxa"/>
            <w:vAlign w:val="center"/>
          </w:tcPr>
          <w:p w14:paraId="33545813">
            <w:pPr>
              <w:ind w:firstLine="240" w:firstLineChars="100"/>
              <w:rPr>
                <w:rFonts w:hint="eastAsia" w:ascii="宋体" w:hAnsi="宋体" w:cs="宋体"/>
                <w:sz w:val="24"/>
              </w:rPr>
            </w:pPr>
            <w:r>
              <w:rPr>
                <w:rFonts w:hint="eastAsia" w:ascii="宋体" w:hAnsi="宋体" w:cs="宋体"/>
                <w:bCs/>
                <w:sz w:val="24"/>
              </w:rPr>
              <w:t>1.主扩音响设备不少于8只，双十寸线阵列音箱</w:t>
            </w:r>
            <w:r>
              <w:rPr>
                <w:rFonts w:hint="eastAsia" w:ascii="宋体" w:hAnsi="宋体" w:cs="宋体"/>
                <w:sz w:val="24"/>
              </w:rPr>
              <w:t>；</w:t>
            </w:r>
          </w:p>
          <w:p w14:paraId="043A1325">
            <w:pPr>
              <w:ind w:firstLine="240" w:firstLineChars="100"/>
              <w:rPr>
                <w:rFonts w:hint="eastAsia" w:ascii="宋体" w:hAnsi="宋体" w:cs="宋体"/>
                <w:sz w:val="24"/>
              </w:rPr>
            </w:pPr>
            <w:r>
              <w:rPr>
                <w:rFonts w:hint="eastAsia" w:ascii="宋体" w:hAnsi="宋体" w:cs="宋体"/>
                <w:bCs/>
                <w:sz w:val="24"/>
              </w:rPr>
              <w:t>2.超低音箱不少于 4只，双19寸音箱</w:t>
            </w:r>
            <w:r>
              <w:rPr>
                <w:rFonts w:hint="eastAsia" w:ascii="宋体" w:hAnsi="宋体" w:cs="宋体"/>
                <w:sz w:val="24"/>
              </w:rPr>
              <w:t>；</w:t>
            </w:r>
          </w:p>
          <w:p w14:paraId="0C28041B">
            <w:pPr>
              <w:ind w:firstLine="240" w:firstLineChars="100"/>
              <w:rPr>
                <w:rFonts w:hint="eastAsia" w:ascii="宋体" w:hAnsi="宋体" w:cs="宋体"/>
                <w:sz w:val="24"/>
              </w:rPr>
            </w:pPr>
            <w:r>
              <w:rPr>
                <w:rFonts w:hint="eastAsia" w:ascii="宋体" w:hAnsi="宋体" w:cs="宋体"/>
                <w:bCs/>
                <w:sz w:val="24"/>
              </w:rPr>
              <w:t>3.返听音箱不少于6只，单15寸音箱，</w:t>
            </w:r>
            <w:r>
              <w:rPr>
                <w:rFonts w:hint="eastAsia" w:ascii="宋体" w:hAnsi="宋体" w:cs="宋体"/>
                <w:sz w:val="24"/>
              </w:rPr>
              <w:t>最大声压级不小于(外分频/内分频) 137.8dB/137.3dB；</w:t>
            </w:r>
          </w:p>
          <w:p w14:paraId="0C40DADE">
            <w:pPr>
              <w:widowControl/>
              <w:ind w:firstLine="240" w:firstLineChars="100"/>
              <w:textAlignment w:val="center"/>
              <w:rPr>
                <w:rFonts w:hint="eastAsia" w:ascii="宋体" w:hAnsi="宋体" w:cs="宋体"/>
                <w:sz w:val="24"/>
              </w:rPr>
            </w:pPr>
            <w:r>
              <w:rPr>
                <w:rFonts w:hint="eastAsia" w:ascii="宋体" w:hAnsi="宋体" w:cs="宋体"/>
                <w:bCs/>
                <w:sz w:val="24"/>
              </w:rPr>
              <w:t>4.功率放大器不少于8台</w:t>
            </w:r>
            <w:r>
              <w:rPr>
                <w:rFonts w:hint="eastAsia" w:ascii="宋体" w:hAnsi="宋体" w:cs="宋体"/>
                <w:sz w:val="24"/>
              </w:rPr>
              <w:t>，通道数量：4 ；</w:t>
            </w:r>
          </w:p>
          <w:p w14:paraId="0745B129">
            <w:pPr>
              <w:widowControl/>
              <w:ind w:firstLine="240" w:firstLineChars="100"/>
              <w:textAlignment w:val="center"/>
              <w:rPr>
                <w:rFonts w:hint="eastAsia" w:ascii="宋体" w:hAnsi="宋体" w:eastAsia="宋体" w:cs="宋体"/>
                <w:sz w:val="24"/>
                <w:lang w:val="en-US" w:eastAsia="zh-CN"/>
              </w:rPr>
            </w:pPr>
            <w:r>
              <w:rPr>
                <w:rFonts w:hint="eastAsia" w:ascii="宋体" w:hAnsi="宋体" w:cs="宋体"/>
                <w:bCs/>
                <w:sz w:val="24"/>
              </w:rPr>
              <w:t>5.调音台 不少于1台，</w:t>
            </w:r>
            <w:r>
              <w:rPr>
                <w:rFonts w:hint="eastAsia" w:ascii="宋体" w:hAnsi="宋体" w:cs="宋体"/>
                <w:sz w:val="24"/>
              </w:rPr>
              <w:t>36个推子，全面可分配的布局——216个推子条；双12”电容触摸屏；</w:t>
            </w:r>
            <w:r>
              <w:rPr>
                <w:rFonts w:hint="eastAsia" w:ascii="宋体" w:hAnsi="宋体" w:cs="宋体"/>
                <w:sz w:val="24"/>
                <w:lang w:val="en-US" w:eastAsia="zh-CN"/>
              </w:rPr>
              <w:t>含64路</w:t>
            </w:r>
            <w:bookmarkStart w:id="0" w:name="_GoBack"/>
            <w:bookmarkEnd w:id="0"/>
            <w:r>
              <w:rPr>
                <w:rFonts w:hint="eastAsia" w:ascii="宋体" w:hAnsi="宋体" w:cs="宋体"/>
                <w:sz w:val="24"/>
                <w:lang w:val="en-US" w:eastAsia="zh-CN"/>
              </w:rPr>
              <w:t>接口箱。</w:t>
            </w:r>
          </w:p>
          <w:p w14:paraId="1591105D">
            <w:pPr>
              <w:ind w:firstLine="240" w:firstLineChars="100"/>
              <w:rPr>
                <w:rFonts w:ascii="宋体" w:hAnsi="宋体" w:cs="宋体"/>
                <w:sz w:val="24"/>
              </w:rPr>
            </w:pPr>
            <w:r>
              <w:rPr>
                <w:rFonts w:hint="eastAsia" w:ascii="宋体" w:hAnsi="宋体" w:cs="宋体"/>
                <w:bCs/>
                <w:sz w:val="24"/>
              </w:rPr>
              <w:t>混音机架 不少于1台，</w:t>
            </w:r>
            <w:r>
              <w:rPr>
                <w:rFonts w:hint="eastAsia" w:ascii="宋体" w:hAnsi="宋体" w:cs="宋体"/>
                <w:sz w:val="24"/>
              </w:rPr>
              <w:t>64路话筒/线路输入，32路线路输出；</w:t>
            </w:r>
          </w:p>
          <w:p w14:paraId="160DA3CB">
            <w:pPr>
              <w:widowControl/>
              <w:ind w:left="240"/>
              <w:textAlignment w:val="center"/>
              <w:rPr>
                <w:rFonts w:ascii="宋体" w:hAnsi="宋体" w:cs="宋体"/>
                <w:sz w:val="24"/>
              </w:rPr>
            </w:pPr>
            <w:r>
              <w:rPr>
                <w:rFonts w:hint="eastAsia" w:ascii="宋体" w:hAnsi="宋体" w:cs="宋体"/>
                <w:bCs/>
                <w:sz w:val="24"/>
              </w:rPr>
              <w:t>6.无线接收机不少于</w:t>
            </w:r>
            <w:r>
              <w:rPr>
                <w:rFonts w:hint="eastAsia" w:ascii="宋体" w:hAnsi="宋体" w:cs="宋体"/>
                <w:bCs/>
                <w:sz w:val="24"/>
                <w:lang w:val="en-US" w:eastAsia="zh-CN"/>
              </w:rPr>
              <w:t>10</w:t>
            </w:r>
            <w:r>
              <w:rPr>
                <w:rFonts w:hint="eastAsia" w:ascii="宋体" w:hAnsi="宋体" w:cs="宋体"/>
                <w:bCs/>
                <w:sz w:val="24"/>
              </w:rPr>
              <w:t>台</w:t>
            </w:r>
            <w:r>
              <w:rPr>
                <w:rFonts w:hint="eastAsia" w:ascii="宋体" w:hAnsi="宋体" w:cs="宋体"/>
                <w:sz w:val="24"/>
              </w:rPr>
              <w:t>；</w:t>
            </w:r>
          </w:p>
          <w:p w14:paraId="208D9BD9">
            <w:pPr>
              <w:widowControl/>
              <w:ind w:firstLine="240" w:firstLineChars="100"/>
              <w:textAlignment w:val="center"/>
              <w:rPr>
                <w:rFonts w:hint="eastAsia" w:ascii="宋体" w:hAnsi="宋体" w:cs="宋体"/>
                <w:sz w:val="24"/>
              </w:rPr>
            </w:pPr>
            <w:r>
              <w:rPr>
                <w:rFonts w:hint="eastAsia" w:ascii="宋体" w:hAnsi="宋体" w:cs="宋体"/>
                <w:bCs/>
                <w:sz w:val="24"/>
              </w:rPr>
              <w:t xml:space="preserve">7.无线发射机不少于 </w:t>
            </w:r>
            <w:r>
              <w:rPr>
                <w:rFonts w:hint="eastAsia" w:ascii="宋体" w:hAnsi="宋体" w:cs="宋体"/>
                <w:bCs/>
                <w:sz w:val="24"/>
                <w:lang w:val="en-US" w:eastAsia="zh-CN"/>
              </w:rPr>
              <w:t>19</w:t>
            </w:r>
            <w:r>
              <w:rPr>
                <w:rFonts w:hint="eastAsia" w:ascii="宋体" w:hAnsi="宋体" w:cs="宋体"/>
                <w:bCs/>
                <w:sz w:val="24"/>
              </w:rPr>
              <w:t>台，</w:t>
            </w:r>
            <w:r>
              <w:rPr>
                <w:rFonts w:hint="eastAsia" w:ascii="宋体" w:hAnsi="宋体" w:cs="宋体"/>
                <w:sz w:val="24"/>
              </w:rPr>
              <w:t>调制方式 FM，无线射频频率范围516/866 MHz；</w:t>
            </w:r>
          </w:p>
          <w:p w14:paraId="79947712">
            <w:pPr>
              <w:widowControl/>
              <w:ind w:firstLine="240" w:firstLineChars="100"/>
              <w:textAlignment w:val="center"/>
              <w:rPr>
                <w:rFonts w:hint="eastAsia" w:ascii="宋体" w:hAnsi="宋体" w:cs="宋体"/>
                <w:b/>
                <w:sz w:val="24"/>
              </w:rPr>
            </w:pPr>
            <w:r>
              <w:rPr>
                <w:rFonts w:hint="eastAsia" w:ascii="宋体" w:hAnsi="宋体" w:cs="宋体"/>
                <w:bCs/>
                <w:sz w:val="24"/>
              </w:rPr>
              <w:t>8.拾音头不少于 1</w:t>
            </w:r>
            <w:r>
              <w:rPr>
                <w:rFonts w:hint="eastAsia" w:ascii="宋体" w:hAnsi="宋体" w:cs="宋体"/>
                <w:bCs/>
                <w:sz w:val="24"/>
                <w:lang w:val="en-US" w:eastAsia="zh-CN"/>
              </w:rPr>
              <w:t>9</w:t>
            </w:r>
            <w:r>
              <w:rPr>
                <w:rFonts w:hint="eastAsia" w:ascii="宋体" w:hAnsi="宋体" w:cs="宋体"/>
                <w:bCs/>
                <w:sz w:val="24"/>
              </w:rPr>
              <w:t>个</w:t>
            </w:r>
            <w:r>
              <w:rPr>
                <w:rFonts w:hint="eastAsia" w:ascii="宋体" w:hAnsi="宋体" w:cs="宋体"/>
                <w:sz w:val="24"/>
              </w:rPr>
              <w:t>；</w:t>
            </w:r>
          </w:p>
        </w:tc>
        <w:tc>
          <w:tcPr>
            <w:tcW w:w="808" w:type="dxa"/>
          </w:tcPr>
          <w:p w14:paraId="3EA1481E">
            <w:pPr>
              <w:jc w:val="center"/>
              <w:rPr>
                <w:rFonts w:ascii="宋体" w:hAnsi="宋体" w:cs="宋体"/>
                <w:b/>
                <w:sz w:val="24"/>
              </w:rPr>
            </w:pPr>
          </w:p>
        </w:tc>
      </w:tr>
      <w:tr w14:paraId="5D48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664" w:type="dxa"/>
            <w:vAlign w:val="center"/>
          </w:tcPr>
          <w:p w14:paraId="3BF2C65F">
            <w:pPr>
              <w:jc w:val="center"/>
              <w:rPr>
                <w:rFonts w:hint="eastAsia" w:ascii="宋体" w:hAnsi="宋体" w:cs="宋体"/>
                <w:bCs/>
                <w:sz w:val="24"/>
              </w:rPr>
            </w:pPr>
            <w:r>
              <w:rPr>
                <w:rFonts w:hint="eastAsia" w:ascii="宋体" w:hAnsi="宋体" w:cs="宋体"/>
                <w:bCs/>
                <w:sz w:val="24"/>
              </w:rPr>
              <w:t>7</w:t>
            </w:r>
          </w:p>
        </w:tc>
        <w:tc>
          <w:tcPr>
            <w:tcW w:w="1237" w:type="dxa"/>
            <w:vAlign w:val="center"/>
          </w:tcPr>
          <w:p w14:paraId="23B93BD6">
            <w:pPr>
              <w:jc w:val="center"/>
              <w:rPr>
                <w:rFonts w:hint="eastAsia" w:ascii="宋体" w:hAnsi="宋体" w:cs="宋体"/>
                <w:bCs/>
                <w:sz w:val="24"/>
              </w:rPr>
            </w:pPr>
            <w:r>
              <w:rPr>
                <w:rFonts w:hint="eastAsia" w:ascii="宋体" w:hAnsi="宋体" w:cs="宋体"/>
                <w:sz w:val="24"/>
              </w:rPr>
              <w:t>LED大屏设备（租赁）</w:t>
            </w:r>
          </w:p>
        </w:tc>
        <w:tc>
          <w:tcPr>
            <w:tcW w:w="6478" w:type="dxa"/>
            <w:vAlign w:val="center"/>
          </w:tcPr>
          <w:p w14:paraId="36D490C7">
            <w:pPr>
              <w:ind w:firstLine="240" w:firstLineChars="100"/>
              <w:rPr>
                <w:rFonts w:hint="eastAsia" w:ascii="宋体" w:hAnsi="宋体" w:cs="宋体"/>
                <w:sz w:val="24"/>
              </w:rPr>
            </w:pPr>
            <w:r>
              <w:rPr>
                <w:rFonts w:hint="eastAsia" w:ascii="宋体" w:hAnsi="宋体" w:cs="宋体"/>
                <w:sz w:val="24"/>
              </w:rPr>
              <w:t>1.LED</w:t>
            </w:r>
            <w:r>
              <w:rPr>
                <w:rFonts w:hint="eastAsia" w:ascii="宋体" w:hAnsi="宋体" w:cs="宋体"/>
                <w:sz w:val="24"/>
                <w:lang w:val="en-US" w:eastAsia="zh-CN"/>
              </w:rPr>
              <w:t>主</w:t>
            </w:r>
            <w:r>
              <w:rPr>
                <w:rFonts w:hint="eastAsia" w:ascii="宋体" w:hAnsi="宋体" w:cs="宋体"/>
                <w:sz w:val="24"/>
              </w:rPr>
              <w:t xml:space="preserve">屏 </w:t>
            </w:r>
            <w:r>
              <w:rPr>
                <w:rFonts w:hint="eastAsia" w:ascii="宋体" w:hAnsi="宋体" w:cs="宋体"/>
                <w:sz w:val="24"/>
                <w:lang w:val="en-US" w:eastAsia="zh-CN"/>
              </w:rPr>
              <w:t>1</w:t>
            </w:r>
            <w:r>
              <w:rPr>
                <w:rFonts w:hint="eastAsia" w:ascii="宋体" w:hAnsi="宋体" w:cs="宋体"/>
                <w:sz w:val="24"/>
              </w:rPr>
              <w:t>组，</w:t>
            </w:r>
            <w:r>
              <w:rPr>
                <w:rFonts w:hint="eastAsia" w:ascii="宋体" w:hAnsi="宋体" w:cs="宋体"/>
                <w:sz w:val="24"/>
                <w:lang w:val="en-US" w:eastAsia="zh-CN"/>
              </w:rPr>
              <w:t>7</w:t>
            </w:r>
            <w:r>
              <w:rPr>
                <w:rFonts w:hint="eastAsia" w:ascii="宋体" w:hAnsi="宋体" w:cs="宋体"/>
                <w:sz w:val="24"/>
              </w:rPr>
              <w:t>m高*</w:t>
            </w:r>
            <w:r>
              <w:rPr>
                <w:rFonts w:hint="eastAsia" w:ascii="宋体" w:hAnsi="宋体" w:cs="宋体"/>
                <w:sz w:val="24"/>
                <w:lang w:val="en-US" w:eastAsia="zh-CN"/>
              </w:rPr>
              <w:t>15</w:t>
            </w:r>
            <w:r>
              <w:rPr>
                <w:rFonts w:hint="eastAsia" w:ascii="宋体" w:hAnsi="宋体" w:cs="宋体"/>
                <w:sz w:val="24"/>
              </w:rPr>
              <w:t>m宽</w:t>
            </w:r>
          </w:p>
          <w:p w14:paraId="5274D9E4">
            <w:pPr>
              <w:ind w:firstLine="240" w:firstLineChars="100"/>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 xml:space="preserve">LED侧屏 </w:t>
            </w:r>
            <w:r>
              <w:rPr>
                <w:rFonts w:hint="eastAsia" w:ascii="宋体" w:hAnsi="宋体" w:cs="宋体"/>
                <w:sz w:val="24"/>
                <w:lang w:val="en-US" w:eastAsia="zh-CN"/>
              </w:rPr>
              <w:t>2</w:t>
            </w:r>
            <w:r>
              <w:rPr>
                <w:rFonts w:hint="eastAsia" w:ascii="宋体" w:hAnsi="宋体" w:cs="宋体"/>
                <w:sz w:val="24"/>
              </w:rPr>
              <w:t>组，每组约7m高*2m宽，上下场门各三组（具体尺寸以舞美定稿方案为准）；</w:t>
            </w:r>
          </w:p>
          <w:p w14:paraId="1E017907">
            <w:pPr>
              <w:ind w:firstLine="240" w:firstLineChars="100"/>
              <w:rPr>
                <w:rFonts w:hint="eastAsia" w:ascii="宋体" w:hAnsi="宋体" w:cs="宋体"/>
                <w:b/>
                <w:sz w:val="24"/>
              </w:rPr>
            </w:pPr>
            <w:r>
              <w:rPr>
                <w:rFonts w:hint="eastAsia" w:ascii="宋体" w:hAnsi="宋体" w:cs="宋体"/>
                <w:sz w:val="24"/>
                <w:lang w:val="en-US" w:eastAsia="zh-CN"/>
              </w:rPr>
              <w:t>3</w:t>
            </w:r>
            <w:r>
              <w:rPr>
                <w:rFonts w:hint="eastAsia" w:ascii="宋体" w:hAnsi="宋体" w:cs="宋体"/>
                <w:sz w:val="24"/>
              </w:rPr>
              <w:t>.屏幕播放设备 1套 。</w:t>
            </w:r>
          </w:p>
        </w:tc>
        <w:tc>
          <w:tcPr>
            <w:tcW w:w="808" w:type="dxa"/>
          </w:tcPr>
          <w:p w14:paraId="590E35A9">
            <w:pPr>
              <w:jc w:val="center"/>
              <w:rPr>
                <w:rFonts w:ascii="宋体" w:hAnsi="宋体" w:cs="宋体"/>
                <w:b/>
                <w:sz w:val="24"/>
              </w:rPr>
            </w:pPr>
          </w:p>
        </w:tc>
      </w:tr>
      <w:tr w14:paraId="376B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664" w:type="dxa"/>
            <w:vAlign w:val="center"/>
          </w:tcPr>
          <w:p w14:paraId="3EA64750">
            <w:pPr>
              <w:jc w:val="center"/>
              <w:rPr>
                <w:rFonts w:hint="eastAsia" w:ascii="宋体" w:hAnsi="宋体" w:cs="宋体"/>
                <w:bCs/>
                <w:sz w:val="24"/>
              </w:rPr>
            </w:pPr>
            <w:r>
              <w:rPr>
                <w:rFonts w:hint="eastAsia" w:ascii="宋体" w:hAnsi="宋体" w:cs="宋体"/>
                <w:bCs/>
                <w:sz w:val="24"/>
              </w:rPr>
              <w:t>8</w:t>
            </w:r>
          </w:p>
        </w:tc>
        <w:tc>
          <w:tcPr>
            <w:tcW w:w="1237" w:type="dxa"/>
            <w:vAlign w:val="center"/>
          </w:tcPr>
          <w:p w14:paraId="4AED0139">
            <w:pPr>
              <w:jc w:val="center"/>
              <w:rPr>
                <w:rFonts w:hint="eastAsia" w:ascii="宋体" w:hAnsi="宋体" w:cs="宋体"/>
                <w:sz w:val="24"/>
              </w:rPr>
            </w:pPr>
            <w:r>
              <w:rPr>
                <w:rFonts w:hint="eastAsia" w:ascii="宋体" w:hAnsi="宋体" w:cs="宋体"/>
                <w:sz w:val="24"/>
              </w:rPr>
              <w:t>舞台物料搭建（租赁）</w:t>
            </w:r>
          </w:p>
        </w:tc>
        <w:tc>
          <w:tcPr>
            <w:tcW w:w="6478" w:type="dxa"/>
            <w:vAlign w:val="center"/>
          </w:tcPr>
          <w:p w14:paraId="179EB2DB">
            <w:pPr>
              <w:ind w:firstLine="240" w:firstLineChars="100"/>
              <w:rPr>
                <w:rFonts w:hint="eastAsia" w:ascii="宋体" w:hAnsi="宋体" w:cs="宋体"/>
                <w:sz w:val="24"/>
              </w:rPr>
            </w:pPr>
            <w:r>
              <w:rPr>
                <w:rFonts w:hint="eastAsia" w:ascii="宋体" w:hAnsi="宋体" w:cs="宋体"/>
                <w:sz w:val="24"/>
              </w:rPr>
              <w:t>1. 二层演区台（20米宽，H0.2米*4步）；</w:t>
            </w:r>
          </w:p>
          <w:p w14:paraId="3583EDF0">
            <w:pPr>
              <w:ind w:firstLine="240" w:firstLineChars="100"/>
              <w:rPr>
                <w:rFonts w:hint="eastAsia" w:ascii="宋体" w:hAnsi="宋体" w:cs="宋体"/>
                <w:sz w:val="24"/>
              </w:rPr>
            </w:pPr>
            <w:r>
              <w:rPr>
                <w:rFonts w:hint="eastAsia" w:ascii="宋体" w:hAnsi="宋体" w:cs="宋体"/>
                <w:sz w:val="24"/>
              </w:rPr>
              <w:t xml:space="preserve">2. 一层演区台（20米*1.22米 H0.3米）； </w:t>
            </w:r>
          </w:p>
          <w:p w14:paraId="3E2B6844">
            <w:pPr>
              <w:ind w:firstLine="240" w:firstLineChars="100"/>
              <w:rPr>
                <w:rFonts w:hint="eastAsia" w:ascii="宋体" w:hAnsi="宋体" w:cs="宋体"/>
                <w:sz w:val="24"/>
              </w:rPr>
            </w:pPr>
            <w:r>
              <w:rPr>
                <w:rFonts w:hint="eastAsia" w:ascii="宋体" w:hAnsi="宋体" w:cs="宋体"/>
                <w:sz w:val="24"/>
              </w:rPr>
              <w:t xml:space="preserve">3. 一层演区补台（3米*2米 H0.3米）； </w:t>
            </w:r>
          </w:p>
          <w:p w14:paraId="103182BC">
            <w:pPr>
              <w:ind w:firstLine="240" w:firstLineChars="100"/>
              <w:rPr>
                <w:rFonts w:hint="eastAsia" w:ascii="宋体" w:hAnsi="宋体" w:cs="宋体"/>
                <w:sz w:val="24"/>
              </w:rPr>
            </w:pPr>
            <w:r>
              <w:rPr>
                <w:rFonts w:hint="eastAsia" w:ascii="宋体" w:hAnsi="宋体" w:cs="宋体"/>
                <w:sz w:val="24"/>
              </w:rPr>
              <w:t>4. 含灰色拉绒地毯。</w:t>
            </w:r>
          </w:p>
        </w:tc>
        <w:tc>
          <w:tcPr>
            <w:tcW w:w="808" w:type="dxa"/>
          </w:tcPr>
          <w:p w14:paraId="1AEB11A3">
            <w:pPr>
              <w:jc w:val="center"/>
              <w:rPr>
                <w:rFonts w:ascii="宋体" w:hAnsi="宋体" w:cs="宋体"/>
                <w:b/>
                <w:sz w:val="24"/>
              </w:rPr>
            </w:pPr>
          </w:p>
        </w:tc>
      </w:tr>
      <w:tr w14:paraId="6486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664" w:type="dxa"/>
            <w:vAlign w:val="center"/>
          </w:tcPr>
          <w:p w14:paraId="557FA2ED">
            <w:pPr>
              <w:jc w:val="center"/>
              <w:rPr>
                <w:rFonts w:hint="eastAsia" w:ascii="宋体" w:hAnsi="宋体" w:cs="宋体"/>
                <w:bCs/>
                <w:sz w:val="24"/>
              </w:rPr>
            </w:pPr>
            <w:r>
              <w:rPr>
                <w:rFonts w:hint="eastAsia" w:ascii="宋体" w:hAnsi="宋体" w:cs="宋体"/>
                <w:bCs/>
                <w:sz w:val="24"/>
              </w:rPr>
              <w:t>9</w:t>
            </w:r>
          </w:p>
        </w:tc>
        <w:tc>
          <w:tcPr>
            <w:tcW w:w="1237" w:type="dxa"/>
            <w:vAlign w:val="center"/>
          </w:tcPr>
          <w:p w14:paraId="5616EF30">
            <w:pPr>
              <w:jc w:val="left"/>
              <w:rPr>
                <w:rFonts w:hint="eastAsia" w:ascii="宋体" w:hAnsi="宋体" w:cs="宋体"/>
                <w:sz w:val="24"/>
              </w:rPr>
            </w:pPr>
            <w:r>
              <w:rPr>
                <w:rFonts w:hint="eastAsia" w:ascii="宋体" w:hAnsi="宋体" w:cs="宋体"/>
                <w:sz w:val="24"/>
              </w:rPr>
              <w:t xml:space="preserve">其他要求 </w:t>
            </w:r>
          </w:p>
        </w:tc>
        <w:tc>
          <w:tcPr>
            <w:tcW w:w="6478" w:type="dxa"/>
            <w:vAlign w:val="center"/>
          </w:tcPr>
          <w:p w14:paraId="444AB5BB">
            <w:pPr>
              <w:ind w:firstLine="240" w:firstLineChars="100"/>
              <w:rPr>
                <w:rFonts w:hint="eastAsia" w:ascii="宋体" w:hAnsi="宋体" w:cs="宋体"/>
                <w:sz w:val="24"/>
              </w:rPr>
            </w:pPr>
            <w:r>
              <w:rPr>
                <w:rFonts w:hint="eastAsia" w:ascii="宋体" w:hAnsi="宋体" w:cs="宋体"/>
                <w:sz w:val="24"/>
              </w:rPr>
              <w:t>1.人员交通费，住宿费，餐费，装拆台人工，设备运输费等均由乙方自理；</w:t>
            </w:r>
          </w:p>
          <w:p w14:paraId="2518C9BA">
            <w:pPr>
              <w:ind w:firstLine="240" w:firstLineChars="100"/>
              <w:rPr>
                <w:rFonts w:hint="eastAsia" w:ascii="宋体" w:hAnsi="宋体" w:cs="宋体"/>
                <w:sz w:val="24"/>
              </w:rPr>
            </w:pPr>
            <w:r>
              <w:rPr>
                <w:rFonts w:hint="eastAsia" w:ascii="宋体" w:hAnsi="宋体" w:cs="宋体"/>
                <w:sz w:val="24"/>
              </w:rPr>
              <w:t>2.乙方公司根据课纲内容变化，需对授课背景视频进行修改调整；</w:t>
            </w:r>
          </w:p>
          <w:p w14:paraId="3AA85E71">
            <w:pPr>
              <w:ind w:firstLine="240" w:firstLineChars="100"/>
              <w:rPr>
                <w:rFonts w:hint="eastAsia" w:ascii="宋体" w:hAnsi="宋体" w:cs="宋体"/>
                <w:sz w:val="24"/>
              </w:rPr>
            </w:pPr>
            <w:r>
              <w:rPr>
                <w:rFonts w:hint="eastAsia" w:ascii="宋体" w:hAnsi="宋体" w:cs="宋体"/>
                <w:sz w:val="24"/>
              </w:rPr>
              <w:t>3. 8月28日前需完整流程预演一次。</w:t>
            </w:r>
          </w:p>
        </w:tc>
        <w:tc>
          <w:tcPr>
            <w:tcW w:w="808" w:type="dxa"/>
            <w:vAlign w:val="center"/>
          </w:tcPr>
          <w:p w14:paraId="11C39521">
            <w:pPr>
              <w:jc w:val="left"/>
              <w:rPr>
                <w:rFonts w:ascii="宋体" w:hAnsi="宋体" w:cs="宋体"/>
                <w:b/>
                <w:sz w:val="24"/>
              </w:rPr>
            </w:pPr>
          </w:p>
        </w:tc>
      </w:tr>
    </w:tbl>
    <w:p w14:paraId="261E3CEF">
      <w:pPr>
        <w:pStyle w:val="3"/>
        <w:spacing w:line="560" w:lineRule="exact"/>
        <w:ind w:left="0" w:leftChars="0"/>
        <w:jc w:val="left"/>
        <w:rPr>
          <w:rFonts w:hint="eastAsia"/>
        </w:rPr>
      </w:pPr>
      <w:r>
        <w:rPr>
          <w:rFonts w:hint="eastAsia"/>
          <w:sz w:val="32"/>
          <w:szCs w:val="32"/>
        </w:rPr>
        <w:br w:type="page"/>
      </w:r>
    </w:p>
    <w:p w14:paraId="7F4ECC40">
      <w:pPr>
        <w:autoSpaceDE w:val="0"/>
        <w:autoSpaceDN w:val="0"/>
        <w:adjustRightInd w:val="0"/>
        <w:spacing w:after="312" w:afterLines="100"/>
        <w:jc w:val="center"/>
        <w:outlineLvl w:val="0"/>
        <w:rPr>
          <w:rFonts w:hint="eastAsia" w:ascii="黑体" w:hAnsi="黑体" w:eastAsia="黑体" w:cs="黑体"/>
          <w:sz w:val="44"/>
          <w:szCs w:val="44"/>
        </w:rPr>
      </w:pPr>
      <w:r>
        <w:rPr>
          <w:rFonts w:hint="eastAsia" w:ascii="黑体" w:hAnsi="黑体" w:eastAsia="黑体" w:cs="黑体"/>
          <w:sz w:val="44"/>
          <w:szCs w:val="44"/>
          <w:lang w:val="zh-CN"/>
        </w:rPr>
        <w:t>报价人</w:t>
      </w:r>
      <w:r>
        <w:rPr>
          <w:rFonts w:hint="eastAsia" w:ascii="黑体" w:hAnsi="黑体" w:eastAsia="黑体" w:cs="黑体"/>
          <w:sz w:val="44"/>
          <w:szCs w:val="44"/>
        </w:rPr>
        <w:t>须知</w:t>
      </w:r>
    </w:p>
    <w:p w14:paraId="188C252B">
      <w:pPr>
        <w:pStyle w:val="4"/>
        <w:spacing w:line="560" w:lineRule="exact"/>
        <w:rPr>
          <w:rFonts w:hint="eastAsia" w:ascii="楷体" w:hAnsi="楷体" w:eastAsia="楷体" w:cs="楷体"/>
          <w:bCs/>
          <w:sz w:val="28"/>
          <w:szCs w:val="28"/>
        </w:rPr>
      </w:pPr>
      <w:r>
        <w:rPr>
          <w:rFonts w:hint="eastAsia" w:ascii="楷体" w:hAnsi="楷体" w:eastAsia="楷体" w:cs="楷体"/>
          <w:bCs/>
          <w:sz w:val="28"/>
          <w:szCs w:val="28"/>
        </w:rPr>
        <w:t>报价书构成</w:t>
      </w:r>
    </w:p>
    <w:p w14:paraId="5B382AEC">
      <w:pPr>
        <w:pStyle w:val="4"/>
        <w:spacing w:line="560" w:lineRule="exact"/>
        <w:rPr>
          <w:rFonts w:hint="eastAsia" w:ascii="楷体" w:hAnsi="楷体" w:eastAsia="楷体" w:cs="楷体"/>
          <w:sz w:val="28"/>
          <w:szCs w:val="28"/>
        </w:rPr>
      </w:pPr>
      <w:r>
        <w:rPr>
          <w:rFonts w:hint="eastAsia" w:ascii="楷体" w:hAnsi="楷体" w:eastAsia="楷体" w:cs="楷体"/>
          <w:sz w:val="28"/>
          <w:szCs w:val="28"/>
        </w:rPr>
        <w:t>（一）报价表（附件1）</w:t>
      </w:r>
    </w:p>
    <w:p w14:paraId="1DA7948A">
      <w:pPr>
        <w:pStyle w:val="4"/>
        <w:spacing w:line="560" w:lineRule="exact"/>
        <w:rPr>
          <w:rFonts w:hint="eastAsia" w:ascii="楷体" w:hAnsi="楷体" w:eastAsia="楷体" w:cs="楷体"/>
          <w:sz w:val="28"/>
          <w:szCs w:val="28"/>
        </w:rPr>
      </w:pPr>
      <w:r>
        <w:rPr>
          <w:rFonts w:hint="eastAsia" w:ascii="楷体" w:hAnsi="楷体" w:eastAsia="楷体" w:cs="楷体"/>
          <w:sz w:val="28"/>
          <w:szCs w:val="28"/>
        </w:rPr>
        <w:t>（二）相关资格证明文件</w:t>
      </w:r>
      <w:r>
        <w:rPr>
          <w:rFonts w:hint="eastAsia" w:ascii="楷体" w:hAnsi="楷体" w:eastAsia="楷体" w:cs="楷体"/>
          <w:color w:val="000000"/>
          <w:sz w:val="28"/>
          <w:szCs w:val="28"/>
        </w:rPr>
        <w:t>（除必须要求原件外，其他资料原件和复印件均可）</w:t>
      </w:r>
    </w:p>
    <w:p w14:paraId="0CCED624">
      <w:pPr>
        <w:pStyle w:val="4"/>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1.营业执照（复印件加盖公章）</w:t>
      </w:r>
    </w:p>
    <w:p w14:paraId="14ACDB67">
      <w:pPr>
        <w:pStyle w:val="4"/>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2.法定代表人资格证明书（附件2）</w:t>
      </w:r>
    </w:p>
    <w:p w14:paraId="1DFB38C9">
      <w:pPr>
        <w:pStyle w:val="4"/>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3.法定代表人授权书（附件3）</w:t>
      </w:r>
    </w:p>
    <w:p w14:paraId="1C9735B7">
      <w:pPr>
        <w:pStyle w:val="4"/>
        <w:spacing w:line="560" w:lineRule="exact"/>
        <w:rPr>
          <w:rFonts w:hint="eastAsia" w:ascii="楷体" w:hAnsi="楷体" w:eastAsia="楷体" w:cs="楷体"/>
          <w:sz w:val="28"/>
          <w:szCs w:val="28"/>
        </w:rPr>
      </w:pPr>
      <w:r>
        <w:rPr>
          <w:rFonts w:hint="eastAsia" w:ascii="楷体" w:hAnsi="楷体" w:eastAsia="楷体" w:cs="楷体"/>
          <w:sz w:val="28"/>
          <w:szCs w:val="28"/>
        </w:rPr>
        <w:t>（三）供应商承诺声明（附件4）</w:t>
      </w:r>
    </w:p>
    <w:p w14:paraId="07DE2C3B">
      <w:pPr>
        <w:pStyle w:val="4"/>
        <w:spacing w:line="560" w:lineRule="exact"/>
        <w:rPr>
          <w:rFonts w:hint="eastAsia" w:ascii="楷体" w:hAnsi="楷体" w:eastAsia="楷体" w:cs="楷体"/>
          <w:sz w:val="28"/>
          <w:szCs w:val="28"/>
        </w:rPr>
      </w:pPr>
      <w:r>
        <w:rPr>
          <w:rFonts w:hint="eastAsia" w:ascii="楷体" w:hAnsi="楷体" w:eastAsia="楷体" w:cs="楷体"/>
          <w:sz w:val="28"/>
          <w:szCs w:val="28"/>
        </w:rPr>
        <w:t>（四）其他材料（报价供应商根据采购内容明细提供证书复印件及相关证明材料）</w:t>
      </w:r>
    </w:p>
    <w:p w14:paraId="547F626C">
      <w:pPr>
        <w:pStyle w:val="8"/>
        <w:spacing w:line="560" w:lineRule="exact"/>
        <w:ind w:firstLine="560"/>
        <w:rPr>
          <w:rFonts w:hint="eastAsia" w:ascii="楷体" w:hAnsi="楷体" w:eastAsia="楷体" w:cs="楷体"/>
          <w:sz w:val="28"/>
          <w:szCs w:val="28"/>
        </w:rPr>
      </w:pPr>
    </w:p>
    <w:p w14:paraId="6AC3ED00">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未密封或者在规定时间内未送达我单位的一律拒绝收取。提交材料至少包含以上资料，缺少一项其报价作无效处理，所有资料需加盖供应商公章、完善相关签名并密封，未盖公章视为无效报价。</w:t>
      </w:r>
    </w:p>
    <w:p w14:paraId="3A6F3870">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报价人须按上述统一格式及顺序向采购人提供《报价书》，否则可能被视为无效报价。</w:t>
      </w:r>
    </w:p>
    <w:p w14:paraId="6E45841D">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14:paraId="32A62C72">
      <w:pPr>
        <w:pStyle w:val="8"/>
        <w:tabs>
          <w:tab w:val="left" w:pos="1875"/>
        </w:tabs>
        <w:ind w:left="0" w:leftChars="0" w:firstLine="0" w:firstLineChars="0"/>
        <w:rPr>
          <w:rFonts w:hint="eastAsia" w:ascii="仿宋_GB2312" w:hAnsi="微软雅黑" w:eastAsia="仿宋_GB2312"/>
          <w:sz w:val="28"/>
          <w:szCs w:val="28"/>
        </w:rPr>
      </w:pPr>
      <w:r>
        <w:rPr>
          <w:rFonts w:eastAsia="黑体"/>
          <w:sz w:val="28"/>
          <w:szCs w:val="28"/>
        </w:rPr>
        <w:br w:type="page"/>
      </w:r>
      <w:r>
        <w:rPr>
          <w:rFonts w:ascii="仿宋_GB2312" w:hAnsi="微软雅黑" w:eastAsia="仿宋_GB2312"/>
          <w:sz w:val="28"/>
          <w:szCs w:val="28"/>
        </w:rPr>
        <w:t>附件</w:t>
      </w:r>
      <w:r>
        <w:rPr>
          <w:rFonts w:hint="eastAsia" w:ascii="仿宋_GB2312" w:hAnsi="微软雅黑" w:eastAsia="仿宋_GB2312"/>
          <w:sz w:val="28"/>
          <w:szCs w:val="28"/>
        </w:rPr>
        <w:t>1</w:t>
      </w:r>
    </w:p>
    <w:p w14:paraId="2348E863">
      <w:pPr>
        <w:pStyle w:val="8"/>
        <w:tabs>
          <w:tab w:val="left" w:pos="1875"/>
        </w:tabs>
        <w:ind w:left="0" w:leftChars="0" w:firstLine="0" w:firstLineChars="0"/>
        <w:jc w:val="center"/>
        <w:rPr>
          <w:rFonts w:hint="eastAsia" w:ascii="黑体" w:hAnsi="黑体" w:eastAsia="黑体"/>
          <w:sz w:val="28"/>
          <w:szCs w:val="28"/>
        </w:rPr>
      </w:pPr>
      <w:r>
        <w:rPr>
          <w:rFonts w:hint="eastAsia" w:ascii="黑体" w:hAnsi="黑体" w:eastAsia="黑体" w:cs="宋体"/>
          <w:color w:val="000000"/>
          <w:sz w:val="44"/>
          <w:szCs w:val="44"/>
        </w:rPr>
        <w:t>报 价 表</w:t>
      </w:r>
    </w:p>
    <w:tbl>
      <w:tblPr>
        <w:tblStyle w:val="9"/>
        <w:tblW w:w="8960" w:type="dxa"/>
        <w:jc w:val="center"/>
        <w:tblLayout w:type="fixed"/>
        <w:tblCellMar>
          <w:top w:w="0" w:type="dxa"/>
          <w:left w:w="108" w:type="dxa"/>
          <w:bottom w:w="0" w:type="dxa"/>
          <w:right w:w="108" w:type="dxa"/>
        </w:tblCellMar>
      </w:tblPr>
      <w:tblGrid>
        <w:gridCol w:w="2595"/>
        <w:gridCol w:w="2165"/>
        <w:gridCol w:w="1394"/>
        <w:gridCol w:w="2806"/>
      </w:tblGrid>
      <w:tr w14:paraId="11C9F7C3">
        <w:tblPrEx>
          <w:tblCellMar>
            <w:top w:w="0" w:type="dxa"/>
            <w:left w:w="108" w:type="dxa"/>
            <w:bottom w:w="0" w:type="dxa"/>
            <w:right w:w="108" w:type="dxa"/>
          </w:tblCellMar>
        </w:tblPrEx>
        <w:trPr>
          <w:trHeight w:val="765" w:hRule="atLeast"/>
          <w:jc w:val="center"/>
        </w:trPr>
        <w:tc>
          <w:tcPr>
            <w:tcW w:w="2595" w:type="dxa"/>
            <w:tcBorders>
              <w:top w:val="double" w:color="auto" w:sz="2" w:space="0"/>
              <w:left w:val="double" w:color="auto" w:sz="2" w:space="0"/>
              <w:bottom w:val="double" w:color="auto" w:sz="2" w:space="0"/>
              <w:right w:val="single" w:color="auto" w:sz="4" w:space="0"/>
            </w:tcBorders>
            <w:vAlign w:val="center"/>
          </w:tcPr>
          <w:p w14:paraId="1481D65F">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项目名称</w:t>
            </w:r>
          </w:p>
        </w:tc>
        <w:tc>
          <w:tcPr>
            <w:tcW w:w="3559" w:type="dxa"/>
            <w:gridSpan w:val="2"/>
            <w:tcBorders>
              <w:top w:val="double" w:color="auto" w:sz="2" w:space="0"/>
              <w:left w:val="nil"/>
              <w:bottom w:val="double" w:color="auto" w:sz="2" w:space="0"/>
              <w:right w:val="single" w:color="auto" w:sz="4" w:space="0"/>
            </w:tcBorders>
            <w:vAlign w:val="center"/>
          </w:tcPr>
          <w:p w14:paraId="509AC525">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响应明细</w:t>
            </w:r>
          </w:p>
        </w:tc>
        <w:tc>
          <w:tcPr>
            <w:tcW w:w="2806" w:type="dxa"/>
            <w:tcBorders>
              <w:top w:val="double" w:color="auto" w:sz="2" w:space="0"/>
              <w:left w:val="nil"/>
              <w:bottom w:val="double" w:color="auto" w:sz="2" w:space="0"/>
              <w:right w:val="double" w:color="auto" w:sz="2" w:space="0"/>
            </w:tcBorders>
            <w:vAlign w:val="center"/>
          </w:tcPr>
          <w:p w14:paraId="37121174">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w:t>
            </w:r>
          </w:p>
        </w:tc>
      </w:tr>
      <w:tr w14:paraId="037317D8">
        <w:tblPrEx>
          <w:tblCellMar>
            <w:top w:w="0" w:type="dxa"/>
            <w:left w:w="108" w:type="dxa"/>
            <w:bottom w:w="0" w:type="dxa"/>
            <w:right w:w="108" w:type="dxa"/>
          </w:tblCellMar>
        </w:tblPrEx>
        <w:trPr>
          <w:trHeight w:val="2952" w:hRule="atLeast"/>
          <w:jc w:val="center"/>
        </w:trPr>
        <w:tc>
          <w:tcPr>
            <w:tcW w:w="2595" w:type="dxa"/>
            <w:tcBorders>
              <w:top w:val="double" w:color="auto" w:sz="2" w:space="0"/>
              <w:left w:val="double" w:color="auto" w:sz="2" w:space="0"/>
              <w:bottom w:val="single" w:color="auto" w:sz="4" w:space="0"/>
              <w:right w:val="single" w:color="auto" w:sz="4" w:space="0"/>
            </w:tcBorders>
            <w:vAlign w:val="center"/>
          </w:tcPr>
          <w:p w14:paraId="21678750">
            <w:pPr>
              <w:widowControl/>
              <w:jc w:val="center"/>
              <w:rPr>
                <w:rFonts w:hint="eastAsia" w:ascii="黑体" w:hAnsi="黑体" w:eastAsia="黑体" w:cs="宋体"/>
                <w:color w:val="000000"/>
                <w:sz w:val="32"/>
                <w:szCs w:val="32"/>
              </w:rPr>
            </w:pPr>
            <w:r>
              <w:rPr>
                <w:rFonts w:hint="eastAsia" w:ascii="微软雅黑" w:hAnsi="微软雅黑" w:eastAsia="微软雅黑"/>
                <w:bCs/>
                <w:color w:val="000000"/>
                <w:sz w:val="32"/>
                <w:szCs w:val="32"/>
              </w:rPr>
              <w:t>2场“忠诚无名”</w:t>
            </w:r>
            <w:r>
              <w:rPr>
                <w:rFonts w:hint="eastAsia" w:ascii="黑体" w:hAnsi="黑体" w:eastAsia="黑体" w:cs="Arial"/>
                <w:sz w:val="32"/>
                <w:szCs w:val="28"/>
                <w:shd w:val="clear" w:color="auto" w:fill="FFFFFF"/>
              </w:rPr>
              <w:t>情景思政课授课导演指导、舞台设备租赁和技术服务保障</w:t>
            </w:r>
          </w:p>
        </w:tc>
        <w:tc>
          <w:tcPr>
            <w:tcW w:w="3559" w:type="dxa"/>
            <w:gridSpan w:val="2"/>
            <w:tcBorders>
              <w:top w:val="double" w:color="auto" w:sz="2" w:space="0"/>
              <w:left w:val="nil"/>
              <w:bottom w:val="single" w:color="auto" w:sz="4" w:space="0"/>
              <w:right w:val="single" w:color="auto" w:sz="4" w:space="0"/>
            </w:tcBorders>
            <w:vAlign w:val="center"/>
          </w:tcPr>
          <w:p w14:paraId="2BB0F323">
            <w:pPr>
              <w:pStyle w:val="7"/>
              <w:spacing w:before="0" w:beforeAutospacing="0" w:after="0" w:afterAutospacing="0" w:line="440" w:lineRule="exact"/>
              <w:ind w:firstLine="300" w:firstLineChars="100"/>
              <w:jc w:val="both"/>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2"/>
                <w:sz w:val="30"/>
                <w:szCs w:val="30"/>
              </w:rPr>
              <w:t>本公司承诺完全响应本项目所有要求。</w:t>
            </w:r>
          </w:p>
        </w:tc>
        <w:tc>
          <w:tcPr>
            <w:tcW w:w="2806" w:type="dxa"/>
            <w:tcBorders>
              <w:top w:val="double" w:color="auto" w:sz="2" w:space="0"/>
              <w:left w:val="nil"/>
              <w:bottom w:val="single" w:color="auto" w:sz="4" w:space="0"/>
              <w:right w:val="double" w:color="auto" w:sz="2" w:space="0"/>
            </w:tcBorders>
            <w:vAlign w:val="center"/>
          </w:tcPr>
          <w:p w14:paraId="1B2256A1">
            <w:pPr>
              <w:jc w:val="left"/>
              <w:rPr>
                <w:rFonts w:hint="eastAsia" w:ascii="仿宋_GB2312" w:hAnsi="仿宋_GB2312" w:eastAsia="仿宋_GB2312" w:cs="仿宋_GB2312"/>
                <w:color w:val="000000"/>
                <w:sz w:val="30"/>
                <w:szCs w:val="30"/>
              </w:rPr>
            </w:pPr>
          </w:p>
        </w:tc>
      </w:tr>
      <w:tr w14:paraId="5722298F">
        <w:tblPrEx>
          <w:tblCellMar>
            <w:top w:w="0" w:type="dxa"/>
            <w:left w:w="108" w:type="dxa"/>
            <w:bottom w:w="0" w:type="dxa"/>
            <w:right w:w="108" w:type="dxa"/>
          </w:tblCellMar>
        </w:tblPrEx>
        <w:trPr>
          <w:trHeight w:val="561" w:hRule="atLeast"/>
          <w:jc w:val="center"/>
        </w:trPr>
        <w:tc>
          <w:tcPr>
            <w:tcW w:w="2595" w:type="dxa"/>
            <w:tcBorders>
              <w:top w:val="single" w:color="auto" w:sz="4" w:space="0"/>
              <w:left w:val="double" w:color="auto" w:sz="2" w:space="0"/>
              <w:bottom w:val="single" w:color="auto" w:sz="4" w:space="0"/>
              <w:right w:val="single" w:color="auto" w:sz="4" w:space="0"/>
            </w:tcBorders>
            <w:vAlign w:val="center"/>
          </w:tcPr>
          <w:p w14:paraId="0A23543D">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报价时间</w:t>
            </w:r>
          </w:p>
        </w:tc>
        <w:tc>
          <w:tcPr>
            <w:tcW w:w="6365" w:type="dxa"/>
            <w:gridSpan w:val="3"/>
            <w:tcBorders>
              <w:top w:val="single" w:color="auto" w:sz="4" w:space="0"/>
              <w:left w:val="nil"/>
              <w:bottom w:val="single" w:color="auto" w:sz="4" w:space="0"/>
              <w:right w:val="double" w:color="auto" w:sz="2" w:space="0"/>
            </w:tcBorders>
            <w:vAlign w:val="center"/>
          </w:tcPr>
          <w:p w14:paraId="6071C71B">
            <w:pPr>
              <w:widowControl/>
              <w:jc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2026年  月  日    时  分</w:t>
            </w:r>
          </w:p>
        </w:tc>
      </w:tr>
      <w:tr w14:paraId="149AA7A3">
        <w:tblPrEx>
          <w:tblCellMar>
            <w:top w:w="0" w:type="dxa"/>
            <w:left w:w="108" w:type="dxa"/>
            <w:bottom w:w="0" w:type="dxa"/>
            <w:right w:w="108" w:type="dxa"/>
          </w:tblCellMar>
        </w:tblPrEx>
        <w:trPr>
          <w:trHeight w:val="675" w:hRule="atLeast"/>
          <w:jc w:val="center"/>
        </w:trPr>
        <w:tc>
          <w:tcPr>
            <w:tcW w:w="2595" w:type="dxa"/>
            <w:tcBorders>
              <w:top w:val="single" w:color="auto" w:sz="4" w:space="0"/>
              <w:left w:val="double" w:color="auto" w:sz="2" w:space="0"/>
              <w:bottom w:val="single" w:color="auto" w:sz="4" w:space="0"/>
              <w:right w:val="single" w:color="auto" w:sz="4" w:space="0"/>
            </w:tcBorders>
            <w:vAlign w:val="center"/>
          </w:tcPr>
          <w:p w14:paraId="3C600782">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报价地点</w:t>
            </w:r>
          </w:p>
        </w:tc>
        <w:tc>
          <w:tcPr>
            <w:tcW w:w="6365" w:type="dxa"/>
            <w:gridSpan w:val="3"/>
            <w:tcBorders>
              <w:top w:val="single" w:color="auto" w:sz="4" w:space="0"/>
              <w:left w:val="nil"/>
              <w:bottom w:val="single" w:color="auto" w:sz="4" w:space="0"/>
              <w:right w:val="double" w:color="auto" w:sz="2" w:space="0"/>
            </w:tcBorders>
            <w:vAlign w:val="center"/>
          </w:tcPr>
          <w:p w14:paraId="51D61D4E">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以采购方通知为准</w:t>
            </w:r>
          </w:p>
        </w:tc>
      </w:tr>
      <w:tr w14:paraId="3F0390C4">
        <w:tblPrEx>
          <w:tblCellMar>
            <w:top w:w="0" w:type="dxa"/>
            <w:left w:w="108" w:type="dxa"/>
            <w:bottom w:w="0" w:type="dxa"/>
            <w:right w:w="108" w:type="dxa"/>
          </w:tblCellMar>
        </w:tblPrEx>
        <w:trPr>
          <w:trHeight w:val="585" w:hRule="atLeast"/>
          <w:jc w:val="center"/>
        </w:trPr>
        <w:tc>
          <w:tcPr>
            <w:tcW w:w="2595" w:type="dxa"/>
            <w:tcBorders>
              <w:top w:val="single" w:color="auto" w:sz="4" w:space="0"/>
              <w:left w:val="double" w:color="auto" w:sz="2" w:space="0"/>
              <w:bottom w:val="single" w:color="auto" w:sz="4" w:space="0"/>
              <w:right w:val="single" w:color="auto" w:sz="4" w:space="0"/>
            </w:tcBorders>
            <w:vAlign w:val="center"/>
          </w:tcPr>
          <w:p w14:paraId="292D0D2F">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报价方式</w:t>
            </w:r>
          </w:p>
        </w:tc>
        <w:tc>
          <w:tcPr>
            <w:tcW w:w="6365" w:type="dxa"/>
            <w:gridSpan w:val="3"/>
            <w:tcBorders>
              <w:top w:val="single" w:color="auto" w:sz="4" w:space="0"/>
              <w:left w:val="nil"/>
              <w:bottom w:val="single" w:color="auto" w:sz="4" w:space="0"/>
              <w:right w:val="double" w:color="auto" w:sz="2" w:space="0"/>
            </w:tcBorders>
            <w:vAlign w:val="center"/>
          </w:tcPr>
          <w:p w14:paraId="17AA02E1">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邮寄/现场递交</w:t>
            </w:r>
          </w:p>
        </w:tc>
      </w:tr>
      <w:tr w14:paraId="24D4B19B">
        <w:tblPrEx>
          <w:tblCellMar>
            <w:top w:w="0" w:type="dxa"/>
            <w:left w:w="108" w:type="dxa"/>
            <w:bottom w:w="0" w:type="dxa"/>
            <w:right w:w="108" w:type="dxa"/>
          </w:tblCellMar>
        </w:tblPrEx>
        <w:trPr>
          <w:trHeight w:val="624" w:hRule="atLeast"/>
          <w:jc w:val="center"/>
        </w:trPr>
        <w:tc>
          <w:tcPr>
            <w:tcW w:w="2595" w:type="dxa"/>
            <w:vMerge w:val="restart"/>
            <w:tcBorders>
              <w:top w:val="nil"/>
              <w:left w:val="double" w:color="auto" w:sz="2" w:space="0"/>
              <w:bottom w:val="single" w:color="auto" w:sz="4" w:space="0"/>
              <w:right w:val="single" w:color="auto" w:sz="4" w:space="0"/>
            </w:tcBorders>
            <w:vAlign w:val="center"/>
          </w:tcPr>
          <w:p w14:paraId="4F0E62CA">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报价人</w:t>
            </w:r>
          </w:p>
        </w:tc>
        <w:tc>
          <w:tcPr>
            <w:tcW w:w="2165" w:type="dxa"/>
            <w:vMerge w:val="restart"/>
            <w:tcBorders>
              <w:top w:val="nil"/>
              <w:left w:val="nil"/>
              <w:bottom w:val="single" w:color="auto" w:sz="4" w:space="0"/>
              <w:right w:val="single" w:color="auto" w:sz="4" w:space="0"/>
            </w:tcBorders>
            <w:vAlign w:val="center"/>
          </w:tcPr>
          <w:p w14:paraId="062A6EE5">
            <w:pPr>
              <w:widowControl/>
              <w:rPr>
                <w:rFonts w:hint="eastAsia" w:ascii="仿宋_GB2312" w:hAnsi="宋体" w:eastAsia="仿宋_GB2312" w:cs="宋体"/>
                <w:color w:val="000000"/>
                <w:sz w:val="32"/>
                <w:szCs w:val="32"/>
              </w:rPr>
            </w:pPr>
          </w:p>
        </w:tc>
        <w:tc>
          <w:tcPr>
            <w:tcW w:w="4200" w:type="dxa"/>
            <w:gridSpan w:val="2"/>
            <w:vMerge w:val="restart"/>
            <w:tcBorders>
              <w:top w:val="single" w:color="auto" w:sz="4" w:space="0"/>
              <w:left w:val="nil"/>
              <w:bottom w:val="single" w:color="auto" w:sz="4" w:space="0"/>
              <w:right w:val="double" w:color="auto" w:sz="2" w:space="0"/>
            </w:tcBorders>
            <w:vAlign w:val="center"/>
          </w:tcPr>
          <w:p w14:paraId="0B939901">
            <w:pPr>
              <w:widowControl/>
              <w:rPr>
                <w:rFonts w:ascii="宋体" w:hAnsi="宋体"/>
                <w:color w:val="000000"/>
                <w:sz w:val="36"/>
                <w:szCs w:val="36"/>
              </w:rPr>
            </w:pPr>
            <w:r>
              <w:rPr>
                <w:rFonts w:hint="eastAsia" w:ascii="黑体" w:hAnsi="黑体" w:eastAsia="黑体" w:cs="宋体"/>
                <w:color w:val="000000"/>
                <w:sz w:val="32"/>
                <w:szCs w:val="32"/>
              </w:rPr>
              <w:t>联系电话：</w:t>
            </w:r>
          </w:p>
        </w:tc>
      </w:tr>
      <w:tr w14:paraId="718BA7BF">
        <w:tblPrEx>
          <w:tblCellMar>
            <w:top w:w="0" w:type="dxa"/>
            <w:left w:w="108" w:type="dxa"/>
            <w:bottom w:w="0" w:type="dxa"/>
            <w:right w:w="108" w:type="dxa"/>
          </w:tblCellMar>
        </w:tblPrEx>
        <w:trPr>
          <w:trHeight w:val="624" w:hRule="atLeast"/>
          <w:jc w:val="center"/>
        </w:trPr>
        <w:tc>
          <w:tcPr>
            <w:tcW w:w="2595" w:type="dxa"/>
            <w:vMerge w:val="continue"/>
            <w:tcBorders>
              <w:top w:val="nil"/>
              <w:left w:val="double" w:color="auto" w:sz="2" w:space="0"/>
              <w:bottom w:val="single" w:color="auto" w:sz="4" w:space="0"/>
              <w:right w:val="single" w:color="auto" w:sz="4" w:space="0"/>
            </w:tcBorders>
            <w:vAlign w:val="center"/>
          </w:tcPr>
          <w:p w14:paraId="7496E9BE">
            <w:pPr>
              <w:widowControl/>
              <w:jc w:val="left"/>
              <w:rPr>
                <w:rFonts w:ascii="黑体" w:hAnsi="黑体" w:eastAsia="黑体" w:cs="宋体"/>
                <w:color w:val="000000"/>
                <w:sz w:val="32"/>
                <w:szCs w:val="32"/>
              </w:rPr>
            </w:pPr>
          </w:p>
        </w:tc>
        <w:tc>
          <w:tcPr>
            <w:tcW w:w="2165" w:type="dxa"/>
            <w:vMerge w:val="continue"/>
            <w:tcBorders>
              <w:top w:val="nil"/>
              <w:left w:val="nil"/>
              <w:bottom w:val="single" w:color="auto" w:sz="4" w:space="0"/>
              <w:right w:val="single" w:color="auto" w:sz="4" w:space="0"/>
            </w:tcBorders>
            <w:vAlign w:val="center"/>
          </w:tcPr>
          <w:p w14:paraId="486A59EF">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vAlign w:val="center"/>
          </w:tcPr>
          <w:p w14:paraId="0C49332E">
            <w:pPr>
              <w:widowControl/>
              <w:jc w:val="left"/>
              <w:rPr>
                <w:rFonts w:ascii="宋体" w:hAnsi="宋体"/>
                <w:color w:val="000000"/>
                <w:sz w:val="36"/>
                <w:szCs w:val="36"/>
              </w:rPr>
            </w:pPr>
          </w:p>
        </w:tc>
      </w:tr>
      <w:tr w14:paraId="5DAE7B69">
        <w:tblPrEx>
          <w:tblCellMar>
            <w:top w:w="0" w:type="dxa"/>
            <w:left w:w="108" w:type="dxa"/>
            <w:bottom w:w="0" w:type="dxa"/>
            <w:right w:w="108" w:type="dxa"/>
          </w:tblCellMar>
        </w:tblPrEx>
        <w:trPr>
          <w:trHeight w:val="624" w:hRule="atLeast"/>
          <w:jc w:val="center"/>
        </w:trPr>
        <w:tc>
          <w:tcPr>
            <w:tcW w:w="2595" w:type="dxa"/>
            <w:vMerge w:val="continue"/>
            <w:tcBorders>
              <w:top w:val="nil"/>
              <w:left w:val="double" w:color="auto" w:sz="2" w:space="0"/>
              <w:bottom w:val="single" w:color="auto" w:sz="4" w:space="0"/>
              <w:right w:val="single" w:color="auto" w:sz="4" w:space="0"/>
            </w:tcBorders>
            <w:vAlign w:val="center"/>
          </w:tcPr>
          <w:p w14:paraId="6130E9A1">
            <w:pPr>
              <w:widowControl/>
              <w:jc w:val="left"/>
              <w:rPr>
                <w:rFonts w:ascii="黑体" w:hAnsi="黑体" w:eastAsia="黑体" w:cs="宋体"/>
                <w:color w:val="000000"/>
                <w:sz w:val="32"/>
                <w:szCs w:val="32"/>
              </w:rPr>
            </w:pPr>
          </w:p>
        </w:tc>
        <w:tc>
          <w:tcPr>
            <w:tcW w:w="2165" w:type="dxa"/>
            <w:vMerge w:val="continue"/>
            <w:tcBorders>
              <w:top w:val="nil"/>
              <w:left w:val="nil"/>
              <w:bottom w:val="single" w:color="auto" w:sz="4" w:space="0"/>
              <w:right w:val="single" w:color="auto" w:sz="4" w:space="0"/>
            </w:tcBorders>
            <w:vAlign w:val="center"/>
          </w:tcPr>
          <w:p w14:paraId="3D8F3582">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vAlign w:val="center"/>
          </w:tcPr>
          <w:p w14:paraId="51B7FEB8">
            <w:pPr>
              <w:widowControl/>
              <w:jc w:val="left"/>
              <w:rPr>
                <w:rFonts w:ascii="宋体" w:hAnsi="宋体"/>
                <w:color w:val="000000"/>
                <w:sz w:val="36"/>
                <w:szCs w:val="36"/>
              </w:rPr>
            </w:pPr>
          </w:p>
        </w:tc>
      </w:tr>
      <w:tr w14:paraId="52EB29E2">
        <w:tblPrEx>
          <w:tblCellMar>
            <w:top w:w="0" w:type="dxa"/>
            <w:left w:w="108" w:type="dxa"/>
            <w:bottom w:w="0" w:type="dxa"/>
            <w:right w:w="108" w:type="dxa"/>
          </w:tblCellMar>
        </w:tblPrEx>
        <w:trPr>
          <w:trHeight w:val="1860" w:hRule="atLeast"/>
          <w:jc w:val="center"/>
        </w:trPr>
        <w:tc>
          <w:tcPr>
            <w:tcW w:w="2595" w:type="dxa"/>
            <w:tcBorders>
              <w:top w:val="single" w:color="auto" w:sz="4" w:space="0"/>
              <w:left w:val="double" w:color="auto" w:sz="2" w:space="0"/>
              <w:bottom w:val="double" w:color="auto" w:sz="2" w:space="0"/>
              <w:right w:val="single" w:color="auto" w:sz="4" w:space="0"/>
            </w:tcBorders>
            <w:vAlign w:val="center"/>
          </w:tcPr>
          <w:p w14:paraId="4AB50E35">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报价单位</w:t>
            </w:r>
          </w:p>
        </w:tc>
        <w:tc>
          <w:tcPr>
            <w:tcW w:w="6365" w:type="dxa"/>
            <w:gridSpan w:val="3"/>
            <w:tcBorders>
              <w:top w:val="single" w:color="auto" w:sz="4" w:space="0"/>
              <w:left w:val="nil"/>
              <w:bottom w:val="double" w:color="auto" w:sz="2" w:space="0"/>
              <w:right w:val="double" w:color="auto" w:sz="2" w:space="0"/>
            </w:tcBorders>
            <w:vAlign w:val="center"/>
          </w:tcPr>
          <w:p w14:paraId="132A8F50">
            <w:pPr>
              <w:widowControl/>
              <w:jc w:val="left"/>
              <w:rPr>
                <w:rFonts w:ascii="楷体_GB2312" w:hAnsi="宋体" w:eastAsia="楷体_GB2312" w:cs="宋体"/>
                <w:color w:val="000000"/>
                <w:sz w:val="32"/>
                <w:szCs w:val="32"/>
              </w:rPr>
            </w:pPr>
            <w:r>
              <w:rPr>
                <w:rFonts w:hint="eastAsia" w:ascii="楷体_GB2312" w:hAnsi="宋体" w:eastAsia="楷体_GB2312" w:cs="宋体"/>
                <w:color w:val="000000"/>
                <w:sz w:val="32"/>
                <w:szCs w:val="32"/>
              </w:rPr>
              <w:t xml:space="preserve">                              （盖章）</w:t>
            </w:r>
          </w:p>
        </w:tc>
      </w:tr>
    </w:tbl>
    <w:p w14:paraId="31FECEBD">
      <w:pPr>
        <w:pStyle w:val="8"/>
        <w:tabs>
          <w:tab w:val="left" w:pos="1875"/>
        </w:tabs>
        <w:ind w:left="0" w:leftChars="0" w:firstLine="0" w:firstLineChars="0"/>
        <w:rPr>
          <w:rFonts w:ascii="仿宋_GB2312" w:hAnsi="微软雅黑" w:eastAsia="仿宋_GB2312"/>
          <w:sz w:val="28"/>
          <w:szCs w:val="28"/>
        </w:rPr>
      </w:pPr>
      <w:r>
        <w:rPr>
          <w:rFonts w:hint="eastAsia" w:ascii="微软雅黑" w:hAnsi="微软雅黑" w:eastAsia="微软雅黑"/>
          <w:sz w:val="24"/>
        </w:rPr>
        <w:t>注：未完全响应的，按无效报价处理。若有正偏离，可在“</w:t>
      </w:r>
      <w:r>
        <w:rPr>
          <w:rFonts w:hint="eastAsia" w:ascii="黑体" w:hAnsi="黑体" w:eastAsia="黑体" w:cs="宋体"/>
          <w:color w:val="000000"/>
          <w:sz w:val="28"/>
          <w:szCs w:val="28"/>
        </w:rPr>
        <w:t>响应明细</w:t>
      </w:r>
      <w:r>
        <w:rPr>
          <w:rFonts w:hint="eastAsia" w:ascii="微软雅黑" w:hAnsi="微软雅黑" w:eastAsia="微软雅黑"/>
          <w:sz w:val="24"/>
        </w:rPr>
        <w:t>”中注明。</w:t>
      </w:r>
      <w:r>
        <w:rPr>
          <w:rFonts w:ascii="微软雅黑" w:hAnsi="微软雅黑" w:eastAsia="微软雅黑"/>
          <w:sz w:val="28"/>
          <w:szCs w:val="28"/>
        </w:rPr>
        <w:br w:type="page"/>
      </w:r>
      <w:r>
        <w:rPr>
          <w:rFonts w:hint="eastAsia" w:ascii="仿宋_GB2312" w:hAnsi="微软雅黑" w:eastAsia="仿宋_GB2312"/>
          <w:sz w:val="28"/>
          <w:szCs w:val="28"/>
        </w:rPr>
        <w:t>附件2</w:t>
      </w:r>
    </w:p>
    <w:p w14:paraId="07998E61">
      <w:pPr>
        <w:jc w:val="center"/>
        <w:rPr>
          <w:rFonts w:ascii="黑体" w:hAnsi="黑体" w:eastAsia="黑体"/>
          <w:bCs/>
          <w:sz w:val="44"/>
          <w:szCs w:val="44"/>
        </w:rPr>
      </w:pPr>
      <w:r>
        <w:rPr>
          <w:rFonts w:hint="eastAsia" w:ascii="黑体" w:hAnsi="黑体" w:eastAsia="黑体"/>
          <w:bCs/>
          <w:sz w:val="44"/>
          <w:szCs w:val="44"/>
        </w:rPr>
        <w:t>法定代表人资格证明书</w:t>
      </w:r>
    </w:p>
    <w:p w14:paraId="061DFC34">
      <w:pPr>
        <w:jc w:val="center"/>
        <w:rPr>
          <w:rFonts w:hint="eastAsia" w:eastAsia="华文中宋"/>
          <w:bCs/>
          <w:sz w:val="44"/>
        </w:rPr>
      </w:pPr>
    </w:p>
    <w:p w14:paraId="357E4BEE">
      <w:pPr>
        <w:ind w:firstLine="560" w:firstLineChars="200"/>
        <w:rPr>
          <w:rFonts w:eastAsia="楷体_GB2312"/>
          <w:sz w:val="28"/>
          <w:szCs w:val="28"/>
        </w:rPr>
      </w:pPr>
    </w:p>
    <w:p w14:paraId="30ACADDD">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u w:val="single"/>
        </w:rPr>
        <w:t>（法定代表人姓名）</w:t>
      </w:r>
      <w:r>
        <w:rPr>
          <w:rFonts w:hint="eastAsia" w:ascii="仿宋_GB2312" w:hAnsi="微软雅黑" w:eastAsia="仿宋_GB2312"/>
          <w:sz w:val="28"/>
          <w:szCs w:val="28"/>
        </w:rPr>
        <w:t>系</w:t>
      </w: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的法定代表人。</w:t>
      </w:r>
    </w:p>
    <w:p w14:paraId="37EE4AE8">
      <w:pPr>
        <w:ind w:firstLine="560" w:firstLineChars="200"/>
        <w:rPr>
          <w:rFonts w:hint="eastAsia" w:ascii="仿宋_GB2312" w:hAnsi="微软雅黑" w:eastAsia="仿宋_GB2312"/>
          <w:sz w:val="28"/>
          <w:szCs w:val="28"/>
        </w:rPr>
      </w:pPr>
    </w:p>
    <w:p w14:paraId="21CC03B0">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rPr>
        <w:t>特此证明</w:t>
      </w:r>
    </w:p>
    <w:p w14:paraId="7693EADD">
      <w:pPr>
        <w:pStyle w:val="8"/>
        <w:rPr>
          <w:rFonts w:hint="eastAsia" w:ascii="仿宋_GB2312" w:eastAsia="仿宋_GB2312"/>
        </w:rPr>
      </w:pPr>
    </w:p>
    <w:p w14:paraId="1228E68E">
      <w:pPr>
        <w:pStyle w:val="8"/>
        <w:rPr>
          <w:rFonts w:hint="eastAsia" w:ascii="仿宋_GB2312" w:eastAsia="仿宋_GB2312"/>
        </w:rPr>
      </w:pPr>
    </w:p>
    <w:p w14:paraId="5208AE8C">
      <w:pPr>
        <w:ind w:firstLine="420" w:firstLineChars="200"/>
        <w:rPr>
          <w:rFonts w:hint="eastAsia" w:ascii="仿宋_GB2312" w:eastAsia="仿宋_GB2312"/>
          <w:sz w:val="28"/>
          <w:szCs w:val="28"/>
        </w:rPr>
      </w:pPr>
      <w:r>
        <w:rPr>
          <w:rFonts w:hint="eastAsia" w:ascii="仿宋_GB2312" w:hAnsi="宋体" w:eastAsia="仿宋_GB2312" w:cs="宋体"/>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5715" t="9525" r="10795" b="762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ln>
                      </wps:spPr>
                      <wps:txbx>
                        <w:txbxContent>
                          <w:p w14:paraId="174B9EE8">
                            <w:pPr>
                              <w:jc w:val="center"/>
                              <w:rPr>
                                <w:rFonts w:ascii="宋体"/>
                              </w:rPr>
                            </w:pPr>
                          </w:p>
                          <w:p w14:paraId="4EF93A8B">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7899EBD1">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8.3pt;margin-top:7.75pt;height:88.65pt;width:176.45pt;z-index:251659264;v-text-anchor:middle;mso-width-relative:page;mso-height-relative:page;" fillcolor="#FFFFFF" filled="t" stroked="t"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FerUytUAAAAJAQAA&#10;DwAAAAAAAAABACAAAAAiAAAAZHJzL2Rvd25yZXYueG1sUEsBAhQAFAAAAAgAh07iQEy5fPtVAgAA&#10;rQQAAA4AAAAAAAAAAQAgAAAAJAEAAGRycy9lMm9Eb2MueG1sUEsFBgAAAAAGAAYAWQEAAOsFAAAA&#10;AA==&#10;">
                <v:fill on="t" focussize="0,0"/>
                <v:stroke color="#000000" miterlimit="8" joinstyle="miter" dashstyle="dash"/>
                <v:imagedata o:title=""/>
                <o:lock v:ext="edit" aspectratio="f"/>
                <v:textbox>
                  <w:txbxContent>
                    <w:p w14:paraId="174B9EE8">
                      <w:pPr>
                        <w:jc w:val="center"/>
                        <w:rPr>
                          <w:rFonts w:ascii="宋体"/>
                        </w:rPr>
                      </w:pPr>
                    </w:p>
                    <w:p w14:paraId="4EF93A8B">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7899EBD1">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hint="eastAsia" w:ascii="仿宋_GB2312" w:hAnsi="宋体" w:eastAsia="仿宋_GB2312" w:cs="宋体"/>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5715" t="10795" r="10795" b="635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ln>
                      </wps:spPr>
                      <wps:txbx>
                        <w:txbxContent>
                          <w:p w14:paraId="155CA698">
                            <w:pPr>
                              <w:jc w:val="center"/>
                              <w:rPr>
                                <w:rFonts w:ascii="宋体"/>
                              </w:rPr>
                            </w:pPr>
                          </w:p>
                          <w:p w14:paraId="640B0C21">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255D0F2A">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33.05pt;margin-top:7.1pt;height:88.65pt;width:176.45pt;z-index:251660288;v-text-anchor:middle;mso-width-relative:page;mso-height-relative:page;" fillcolor="#FFFFFF" filled="t" stroked="t"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i36hNUAAAAKAQAA&#10;DwAAAAAAAAABACAAAAAiAAAAZHJzL2Rvd25yZXYueG1sUEsBAhQAFAAAAAgAh07iQLCsxqlVAgAA&#10;rQQAAA4AAAAAAAAAAQAgAAAAJAEAAGRycy9lMm9Eb2MueG1sUEsFBgAAAAAGAAYAWQEAAOsFAAAA&#10;AA==&#10;">
                <v:fill on="t" focussize="0,0"/>
                <v:stroke color="#000000" miterlimit="8" joinstyle="miter" dashstyle="dash"/>
                <v:imagedata o:title=""/>
                <o:lock v:ext="edit" aspectratio="f"/>
                <v:textbox>
                  <w:txbxContent>
                    <w:p w14:paraId="155CA698">
                      <w:pPr>
                        <w:jc w:val="center"/>
                        <w:rPr>
                          <w:rFonts w:ascii="宋体"/>
                        </w:rPr>
                      </w:pPr>
                    </w:p>
                    <w:p w14:paraId="640B0C21">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255D0F2A">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14:paraId="4DD56304">
      <w:pPr>
        <w:ind w:firstLine="560" w:firstLineChars="200"/>
        <w:rPr>
          <w:rFonts w:hint="eastAsia" w:ascii="仿宋_GB2312" w:eastAsia="仿宋_GB2312"/>
          <w:sz w:val="28"/>
          <w:szCs w:val="28"/>
        </w:rPr>
      </w:pPr>
    </w:p>
    <w:p w14:paraId="6D56BC76">
      <w:pPr>
        <w:rPr>
          <w:rFonts w:hint="eastAsia" w:ascii="仿宋_GB2312" w:eastAsia="仿宋_GB2312"/>
          <w:sz w:val="28"/>
          <w:szCs w:val="28"/>
        </w:rPr>
      </w:pPr>
    </w:p>
    <w:p w14:paraId="6E948D99">
      <w:pPr>
        <w:rPr>
          <w:rFonts w:hint="eastAsia" w:ascii="仿宋_GB2312" w:eastAsia="仿宋_GB2312"/>
          <w:sz w:val="28"/>
          <w:szCs w:val="28"/>
        </w:rPr>
      </w:pPr>
    </w:p>
    <w:p w14:paraId="5CF8F578">
      <w:pPr>
        <w:rPr>
          <w:rFonts w:hint="eastAsia" w:ascii="仿宋_GB2312" w:eastAsia="仿宋_GB2312"/>
          <w:sz w:val="28"/>
          <w:szCs w:val="28"/>
        </w:rPr>
      </w:pPr>
    </w:p>
    <w:p w14:paraId="71EF8D68">
      <w:pPr>
        <w:rPr>
          <w:rFonts w:hint="eastAsia" w:ascii="仿宋_GB2312" w:eastAsia="仿宋_GB2312"/>
          <w:sz w:val="28"/>
          <w:szCs w:val="28"/>
        </w:rPr>
      </w:pPr>
    </w:p>
    <w:p w14:paraId="0BB15A4D">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5FEE8933">
      <w:pPr>
        <w:jc w:val="left"/>
        <w:rPr>
          <w:rFonts w:hint="eastAsia" w:ascii="仿宋_GB2312" w:hAnsi="微软雅黑" w:eastAsia="仿宋_GB2312"/>
          <w:sz w:val="28"/>
          <w:szCs w:val="28"/>
        </w:rPr>
      </w:pPr>
    </w:p>
    <w:p w14:paraId="117FDCA3">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16DBEC42">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附件3</w:t>
      </w:r>
    </w:p>
    <w:p w14:paraId="0F8B5AAA">
      <w:pPr>
        <w:jc w:val="center"/>
        <w:rPr>
          <w:rFonts w:hint="eastAsia" w:ascii="黑体" w:hAnsi="黑体" w:eastAsia="黑体"/>
          <w:bCs/>
          <w:sz w:val="44"/>
          <w:szCs w:val="44"/>
        </w:rPr>
      </w:pPr>
      <w:r>
        <w:rPr>
          <w:rFonts w:hint="eastAsia" w:ascii="黑体" w:hAnsi="黑体" w:eastAsia="黑体"/>
          <w:bCs/>
          <w:sz w:val="44"/>
          <w:szCs w:val="44"/>
        </w:rPr>
        <w:t>法定代表人授权书</w:t>
      </w:r>
    </w:p>
    <w:p w14:paraId="2412DEDE">
      <w:pPr>
        <w:pStyle w:val="8"/>
        <w:ind w:left="0" w:leftChars="0" w:firstLine="0" w:firstLineChars="0"/>
        <w:jc w:val="center"/>
        <w:rPr>
          <w:rFonts w:hint="eastAsia"/>
          <w:color w:val="FF0000"/>
          <w:sz w:val="28"/>
          <w:szCs w:val="28"/>
        </w:rPr>
      </w:pPr>
      <w:r>
        <w:rPr>
          <w:rFonts w:hint="eastAsia"/>
          <w:color w:val="FF0000"/>
          <w:sz w:val="28"/>
          <w:szCs w:val="28"/>
        </w:rPr>
        <w:t>（如有授权填写）</w:t>
      </w:r>
    </w:p>
    <w:p w14:paraId="21C0B9E5">
      <w:pPr>
        <w:spacing w:line="60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3DE86D48">
      <w:pPr>
        <w:spacing w:line="600" w:lineRule="exact"/>
        <w:ind w:firstLine="596" w:firstLineChars="213"/>
        <w:rPr>
          <w:rFonts w:hint="eastAsia" w:ascii="仿宋_GB2312" w:hAnsi="微软雅黑" w:eastAsia="仿宋_GB2312"/>
          <w:sz w:val="28"/>
          <w:szCs w:val="28"/>
        </w:rPr>
      </w:pPr>
      <w:r>
        <w:rPr>
          <w:rFonts w:hint="eastAsia" w:ascii="仿宋_GB2312" w:hAnsi="微软雅黑" w:eastAsia="仿宋_GB2312"/>
          <w:sz w:val="28"/>
          <w:szCs w:val="28"/>
          <w:u w:val="single"/>
        </w:rPr>
        <w:t>（报价人全称）</w:t>
      </w:r>
      <w:r>
        <w:rPr>
          <w:rFonts w:hint="eastAsia" w:ascii="仿宋_GB2312" w:hAnsi="微软雅黑" w:eastAsia="仿宋_GB2312"/>
          <w:sz w:val="28"/>
          <w:szCs w:val="28"/>
        </w:rPr>
        <w:t>法定代表人</w:t>
      </w:r>
      <w:r>
        <w:rPr>
          <w:rFonts w:hint="eastAsia" w:ascii="仿宋_GB2312" w:hAnsi="微软雅黑" w:eastAsia="仿宋_GB2312"/>
          <w:sz w:val="28"/>
          <w:szCs w:val="28"/>
          <w:u w:val="single"/>
        </w:rPr>
        <w:t>（姓名、职务）</w:t>
      </w:r>
      <w:r>
        <w:rPr>
          <w:rFonts w:hint="eastAsia" w:ascii="仿宋_GB2312" w:hAnsi="微软雅黑" w:eastAsia="仿宋_GB2312"/>
          <w:sz w:val="28"/>
          <w:szCs w:val="28"/>
        </w:rPr>
        <w:t xml:space="preserve"> 授权</w:t>
      </w:r>
      <w:r>
        <w:rPr>
          <w:rFonts w:hint="eastAsia" w:ascii="仿宋_GB2312" w:hAnsi="微软雅黑" w:eastAsia="仿宋_GB2312"/>
          <w:sz w:val="28"/>
          <w:szCs w:val="28"/>
          <w:u w:val="single"/>
        </w:rPr>
        <w:t>（授权代表姓名、职务）</w:t>
      </w:r>
      <w:r>
        <w:rPr>
          <w:rFonts w:hint="eastAsia" w:ascii="仿宋_GB2312" w:hAnsi="微软雅黑" w:eastAsia="仿宋_GB2312"/>
          <w:sz w:val="28"/>
          <w:szCs w:val="28"/>
        </w:rPr>
        <w:t>为全权代表，参加贵部组织的项目编号为</w:t>
      </w:r>
      <w:r>
        <w:rPr>
          <w:rFonts w:hint="eastAsia" w:ascii="仿宋_GB2312" w:hAnsi="微软雅黑" w:eastAsia="仿宋_GB2312"/>
          <w:sz w:val="28"/>
          <w:szCs w:val="28"/>
          <w:u w:val="single"/>
        </w:rPr>
        <w:t xml:space="preserve"> （项目编号） </w:t>
      </w:r>
      <w:r>
        <w:rPr>
          <w:rFonts w:hint="eastAsia" w:ascii="仿宋_GB2312" w:hAnsi="微软雅黑" w:eastAsia="仿宋_GB2312"/>
          <w:sz w:val="28"/>
          <w:szCs w:val="28"/>
        </w:rPr>
        <w:t>的</w:t>
      </w:r>
      <w:r>
        <w:rPr>
          <w:rFonts w:hint="eastAsia" w:ascii="仿宋_GB2312" w:hAnsi="微软雅黑" w:eastAsia="仿宋_GB2312"/>
          <w:sz w:val="28"/>
          <w:szCs w:val="28"/>
          <w:u w:val="single"/>
        </w:rPr>
        <w:t xml:space="preserve"> （项目名称） </w:t>
      </w:r>
      <w:r>
        <w:rPr>
          <w:rFonts w:hint="eastAsia" w:ascii="仿宋_GB2312" w:hAnsi="微软雅黑" w:eastAsia="仿宋_GB2312"/>
          <w:sz w:val="28"/>
          <w:szCs w:val="28"/>
        </w:rPr>
        <w:t>采购活动，全权处理采购活动中的一切事宜。</w:t>
      </w:r>
    </w:p>
    <w:p w14:paraId="492BA0FB">
      <w:pPr>
        <w:spacing w:line="560" w:lineRule="exact"/>
        <w:ind w:firstLine="600"/>
        <w:rPr>
          <w:rFonts w:hint="eastAsia" w:ascii="仿宋_GB2312" w:hAnsi="微软雅黑" w:eastAsia="仿宋_GB2312"/>
          <w:sz w:val="28"/>
          <w:szCs w:val="28"/>
        </w:rPr>
      </w:pPr>
    </w:p>
    <w:p w14:paraId="7C66CE66">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334DB512">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w:t>
      </w:r>
    </w:p>
    <w:p w14:paraId="0519F3A8">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法定代表人：（签字或盖章）</w:t>
      </w:r>
    </w:p>
    <w:p w14:paraId="1883F671">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261B8FB2">
      <w:pPr>
        <w:spacing w:line="560" w:lineRule="exact"/>
        <w:rPr>
          <w:rFonts w:hint="eastAsia" w:ascii="仿宋_GB2312" w:hAnsi="微软雅黑" w:eastAsia="仿宋_GB2312"/>
          <w:sz w:val="28"/>
          <w:szCs w:val="28"/>
        </w:rPr>
      </w:pPr>
      <w:r>
        <w:rPr>
          <w:rFonts w:hint="eastAsia" w:ascii="仿宋_GB2312" w:hAnsi="微软雅黑" w:eastAsia="仿宋_GB2312"/>
          <w:sz w:val="28"/>
          <w:szCs w:val="28"/>
        </w:rPr>
        <w:t>附：</w:t>
      </w:r>
    </w:p>
    <w:p w14:paraId="3373AC25">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授权代表姓名：              身份证号码：</w:t>
      </w:r>
    </w:p>
    <w:p w14:paraId="2BFD717C">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职    务：                  电    话：</w:t>
      </w:r>
    </w:p>
    <w:p w14:paraId="5FA96D0D">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传    真：                  邮    编：</w:t>
      </w:r>
    </w:p>
    <w:p w14:paraId="4BFD39FB">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通讯地址：</w:t>
      </w:r>
    </w:p>
    <w:p w14:paraId="0D075822">
      <w:pPr>
        <w:spacing w:line="560" w:lineRule="exact"/>
        <w:ind w:firstLine="573"/>
        <w:rPr>
          <w:rFonts w:hint="eastAsia" w:ascii="仿宋_GB2312" w:eastAsia="仿宋_GB2312"/>
        </w:rPr>
      </w:pPr>
      <w:r>
        <w:rPr>
          <w:rFonts w:hint="eastAsia" w:ascii="仿宋_GB2312" w:eastAsia="仿宋_GB2312"/>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9525" t="13970" r="6985" b="1270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ln>
                      </wps:spPr>
                      <wps:txbx>
                        <w:txbxContent>
                          <w:p w14:paraId="17EDF7A5">
                            <w:pPr>
                              <w:jc w:val="center"/>
                              <w:rPr>
                                <w:rFonts w:ascii="宋体"/>
                              </w:rPr>
                            </w:pPr>
                          </w:p>
                          <w:p w14:paraId="315375BB">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6E5C3A02">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5.1pt;margin-top:14.6pt;height:88.65pt;width:176.45pt;z-index:251662336;v-text-anchor:middle;mso-width-relative:page;mso-height-relative:page;" fillcolor="#FFFFFF" filled="t" stroked="t"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Qx+uXtYAAAAKAQAA&#10;DwAAAAAAAAABACAAAAAiAAAAZHJzL2Rvd25yZXYueG1sUEsBAhQAFAAAAAgAh07iQI9xhfFUAgAA&#10;rQQAAA4AAAAAAAAAAQAgAAAAJQEAAGRycy9lMm9Eb2MueG1sUEsFBgAAAAAGAAYAWQEAAOsFAAAA&#10;AA==&#10;">
                <v:fill on="t" focussize="0,0"/>
                <v:stroke color="#000000" miterlimit="8" joinstyle="miter" dashstyle="dash"/>
                <v:imagedata o:title=""/>
                <o:lock v:ext="edit" aspectratio="f"/>
                <v:textbox>
                  <w:txbxContent>
                    <w:p w14:paraId="17EDF7A5">
                      <w:pPr>
                        <w:jc w:val="center"/>
                        <w:rPr>
                          <w:rFonts w:ascii="宋体"/>
                        </w:rPr>
                      </w:pPr>
                    </w:p>
                    <w:p w14:paraId="315375BB">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6E5C3A02">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hint="eastAsia" w:ascii="仿宋_GB2312" w:eastAsia="仿宋_GB2312"/>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8255" t="12065" r="8255" b="508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cmpd="sng">
                          <a:solidFill>
                            <a:srgbClr val="000000"/>
                          </a:solidFill>
                          <a:prstDash val="dash"/>
                          <a:miter lim="800000"/>
                        </a:ln>
                      </wps:spPr>
                      <wps:txbx>
                        <w:txbxContent>
                          <w:p w14:paraId="43AE76CA">
                            <w:pPr>
                              <w:jc w:val="center"/>
                              <w:rPr>
                                <w:rFonts w:ascii="宋体"/>
                              </w:rPr>
                            </w:pPr>
                          </w:p>
                          <w:p w14:paraId="6F18754E">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0AA67A6C">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9.25pt;margin-top:14.45pt;height:88.65pt;width:176.45pt;z-index:251661312;v-text-anchor:middle;mso-width-relative:page;mso-height-relative:page;" fillcolor="#FFFFFF" filled="t" stroked="t"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rjRdYAAAAJAQAA&#10;DwAAAAAAAAABACAAAAAiAAAAZHJzL2Rvd25yZXYueG1sUEsBAhQAFAAAAAgAh07iQM4WQRlUAgAA&#10;rQQAAA4AAAAAAAAAAQAgAAAAJQEAAGRycy9lMm9Eb2MueG1sUEsFBgAAAAAGAAYAWQEAAOsFAAAA&#10;AA==&#10;">
                <v:fill on="t" focussize="0,0"/>
                <v:stroke color="#000000" miterlimit="8" joinstyle="miter" dashstyle="dash"/>
                <v:imagedata o:title=""/>
                <o:lock v:ext="edit" aspectratio="f"/>
                <v:textbox>
                  <w:txbxContent>
                    <w:p w14:paraId="43AE76CA">
                      <w:pPr>
                        <w:jc w:val="center"/>
                        <w:rPr>
                          <w:rFonts w:ascii="宋体"/>
                        </w:rPr>
                      </w:pPr>
                    </w:p>
                    <w:p w14:paraId="6F18754E">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0AA67A6C">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14:paraId="2D2535E7">
      <w:pPr>
        <w:spacing w:line="560" w:lineRule="exact"/>
        <w:ind w:firstLine="573"/>
        <w:rPr>
          <w:rFonts w:hint="eastAsia" w:ascii="仿宋_GB2312" w:eastAsia="仿宋_GB2312"/>
        </w:rPr>
      </w:pPr>
    </w:p>
    <w:p w14:paraId="42E72B33">
      <w:pPr>
        <w:spacing w:line="560" w:lineRule="exact"/>
        <w:ind w:firstLine="573"/>
        <w:rPr>
          <w:rFonts w:hint="eastAsia" w:ascii="仿宋_GB2312" w:eastAsia="仿宋_GB2312"/>
        </w:rPr>
      </w:pPr>
    </w:p>
    <w:p w14:paraId="4FB9B596">
      <w:pPr>
        <w:spacing w:line="560" w:lineRule="exact"/>
        <w:ind w:firstLine="573"/>
        <w:rPr>
          <w:rFonts w:hint="eastAsia" w:ascii="仿宋_GB2312" w:eastAsia="仿宋_GB2312"/>
        </w:rPr>
      </w:pPr>
    </w:p>
    <w:p w14:paraId="00E69511">
      <w:pPr>
        <w:pStyle w:val="8"/>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附件4</w:t>
      </w:r>
    </w:p>
    <w:p w14:paraId="1BD6C3F9">
      <w:pPr>
        <w:jc w:val="center"/>
        <w:rPr>
          <w:rFonts w:ascii="黑体" w:hAnsi="黑体" w:eastAsia="黑体"/>
          <w:bCs/>
          <w:sz w:val="44"/>
          <w:szCs w:val="44"/>
        </w:rPr>
      </w:pPr>
      <w:r>
        <w:rPr>
          <w:rFonts w:hint="eastAsia" w:ascii="黑体" w:hAnsi="黑体" w:eastAsia="黑体"/>
          <w:bCs/>
          <w:sz w:val="44"/>
          <w:szCs w:val="44"/>
        </w:rPr>
        <w:t>供应商承诺声明</w:t>
      </w:r>
    </w:p>
    <w:p w14:paraId="09F89A57">
      <w:pPr>
        <w:spacing w:line="52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3245809A">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w:t>
      </w:r>
      <w:r>
        <w:rPr>
          <w:rFonts w:hint="eastAsia" w:ascii="仿宋_GB2312" w:hAnsi="微软雅黑" w:eastAsia="仿宋_GB2312"/>
          <w:sz w:val="28"/>
          <w:szCs w:val="28"/>
          <w:u w:val="single"/>
        </w:rPr>
        <w:t>（报价供应商全称）</w:t>
      </w:r>
      <w:r>
        <w:rPr>
          <w:rFonts w:hint="eastAsia" w:ascii="仿宋_GB2312" w:hAnsi="宋体" w:eastAsia="仿宋_GB2312"/>
          <w:sz w:val="28"/>
          <w:szCs w:val="28"/>
        </w:rPr>
        <w:t>自愿参加贵部组织的</w:t>
      </w:r>
      <w:r>
        <w:rPr>
          <w:rFonts w:hint="eastAsia" w:ascii="仿宋_GB2312" w:hAnsi="宋体" w:eastAsia="仿宋_GB2312"/>
          <w:sz w:val="28"/>
          <w:szCs w:val="28"/>
          <w:u w:val="single"/>
        </w:rPr>
        <w:t>（项目名称）</w:t>
      </w:r>
      <w:r>
        <w:rPr>
          <w:rFonts w:hint="eastAsia" w:ascii="仿宋_GB2312" w:hAnsi="宋体" w:eastAsia="仿宋_GB2312"/>
          <w:sz w:val="28"/>
          <w:szCs w:val="28"/>
        </w:rPr>
        <w:t>、（项目编号：</w:t>
      </w:r>
      <w:r>
        <w:rPr>
          <w:rFonts w:hint="eastAsia" w:ascii="仿宋_GB2312" w:hAnsi="宋体" w:eastAsia="仿宋_GB2312"/>
          <w:sz w:val="28"/>
          <w:szCs w:val="28"/>
          <w:u w:val="single"/>
        </w:rPr>
        <w:t xml:space="preserve">          </w:t>
      </w:r>
      <w:r>
        <w:rPr>
          <w:rFonts w:hint="eastAsia" w:ascii="仿宋_GB2312" w:hAnsi="宋体" w:eastAsia="仿宋_GB2312"/>
          <w:sz w:val="28"/>
          <w:szCs w:val="28"/>
        </w:rPr>
        <w:t>）采购活动，承诺声明如下：</w:t>
      </w:r>
    </w:p>
    <w:p w14:paraId="7DCDC885">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一、供应商诚信承诺</w:t>
      </w:r>
    </w:p>
    <w:p w14:paraId="37EAEA2E">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1.如实编写投标文件，对投标文件中提供的文件材料、图片影像、财务数据、资产情况及相应证明等材料的真实性、完整性、准确性，承担相应的法律责任。</w:t>
      </w:r>
    </w:p>
    <w:p w14:paraId="78515A53">
      <w:pPr>
        <w:widowControl/>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hAnsi="宋体" w:eastAsia="仿宋_GB2312"/>
          <w:sz w:val="28"/>
          <w:szCs w:val="28"/>
        </w:rPr>
        <w:t>因单位转制、兼并、股改等特殊情况，无法提供原始材料、财务数据、资产情况等，造成单位信息难以确认时，自愿放弃参加军队采购活动。</w:t>
      </w:r>
    </w:p>
    <w:p w14:paraId="7BF2D311">
      <w:pPr>
        <w:spacing w:line="600" w:lineRule="exact"/>
        <w:ind w:firstLine="560" w:firstLineChars="200"/>
        <w:rPr>
          <w:rFonts w:hint="eastAsia" w:ascii="仿宋_GB2312" w:hAnsi="宋体" w:eastAsia="仿宋_GB2312"/>
          <w:sz w:val="28"/>
          <w:szCs w:val="28"/>
        </w:rPr>
      </w:pPr>
      <w:r>
        <w:rPr>
          <w:rFonts w:hint="eastAsia" w:ascii="仿宋_GB2312" w:eastAsia="仿宋_GB2312"/>
          <w:sz w:val="28"/>
          <w:szCs w:val="28"/>
        </w:rPr>
        <w:t>3.</w:t>
      </w:r>
      <w:r>
        <w:rPr>
          <w:rFonts w:hint="eastAsia" w:ascii="仿宋_GB2312" w:hAnsi="宋体"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14:paraId="641068A3">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二、保密承诺</w:t>
      </w:r>
    </w:p>
    <w:p w14:paraId="57A662D8">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1.严格遵守国家和军队的保密法律法规，履行保密义务。</w:t>
      </w:r>
    </w:p>
    <w:p w14:paraId="2128A3AB">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2.不以任何方式泄露或传播本次采购项目相关信息。</w:t>
      </w:r>
    </w:p>
    <w:p w14:paraId="293A71B0">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3.不违规记录、存储、复制本次采购项目相关信息。</w:t>
      </w:r>
    </w:p>
    <w:p w14:paraId="2E48A2A0">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4.招标文件以及相关技术文件专室放置、专盘存储、专人管理。</w:t>
      </w:r>
    </w:p>
    <w:p w14:paraId="5AC264D1">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5.未经采购机构审查批准，不得擅自在互联网、通讯媒体等发表涉及此次采购项目相关信息。</w:t>
      </w:r>
    </w:p>
    <w:p w14:paraId="16A21592">
      <w:pPr>
        <w:keepNext/>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三、未被列入违法失信名单承诺</w:t>
      </w:r>
    </w:p>
    <w:p w14:paraId="6E0677DB">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34A6E56D">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四、</w:t>
      </w:r>
      <w:r>
        <w:rPr>
          <w:rFonts w:hint="eastAsia" w:ascii="黑体" w:hAnsi="黑体" w:eastAsia="黑体" w:cs="宋体"/>
          <w:sz w:val="28"/>
          <w:szCs w:val="28"/>
        </w:rPr>
        <w:t>关联</w:t>
      </w:r>
      <w:r>
        <w:rPr>
          <w:rFonts w:hint="eastAsia" w:ascii="黑体" w:hAnsi="黑体" w:eastAsia="黑体"/>
          <w:sz w:val="28"/>
          <w:szCs w:val="28"/>
        </w:rPr>
        <w:t>关系企业不参与采购活动承诺</w:t>
      </w:r>
    </w:p>
    <w:p w14:paraId="1FADA99D">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与我单位负责人为同一人或存在直接控股或管理关系的不同供应商，未参加同一包采购活动。</w:t>
      </w:r>
    </w:p>
    <w:p w14:paraId="2A010465">
      <w:pPr>
        <w:spacing w:line="600" w:lineRule="exact"/>
        <w:ind w:firstLine="560" w:firstLineChars="200"/>
        <w:rPr>
          <w:rFonts w:hint="eastAsia" w:ascii="仿宋_GB2312" w:eastAsia="仿宋_GB2312"/>
          <w:sz w:val="28"/>
          <w:szCs w:val="28"/>
        </w:rPr>
      </w:pPr>
      <w:r>
        <w:rPr>
          <w:rFonts w:hint="eastAsia" w:ascii="仿宋_GB2312" w:hAnsi="宋体" w:eastAsia="仿宋_GB2312"/>
          <w:sz w:val="28"/>
          <w:szCs w:val="28"/>
        </w:rPr>
        <w:t>我单位为生产型企业的，与我单位生产场经营地址或注册登记地址为同一地址的其他生产型企业，未参加同一包采购活动。</w:t>
      </w:r>
    </w:p>
    <w:p w14:paraId="3A6E7B93">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361CFD5F">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我单位提供的业绩证明材料中，合同缔约方不存在控股或管理关系。</w:t>
      </w:r>
    </w:p>
    <w:p w14:paraId="461AA305">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五、前3年没有重大违法记录的书面声明</w:t>
      </w:r>
    </w:p>
    <w:p w14:paraId="01CEB81A">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参加军队采购活动前3年内，在经营活动中没有受到刑事处罚或者责令停产停业、吊销许可证或者执照、较大数额罚款（200万元以上）等重大违法记录；</w:t>
      </w:r>
    </w:p>
    <w:p w14:paraId="7252B7FC">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六、没有发生过重大质量安全事故的书面声明</w:t>
      </w:r>
    </w:p>
    <w:p w14:paraId="2261772D">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我单位近3年没有发生过重大质量安全事故。</w:t>
      </w:r>
    </w:p>
    <w:p w14:paraId="667190C0">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七、非外资独资企业或控股企业的书面声明</w:t>
      </w:r>
    </w:p>
    <w:p w14:paraId="693C594E">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我单位为非外资独资企业或控股企业。</w:t>
      </w:r>
    </w:p>
    <w:p w14:paraId="2381F60F">
      <w:pPr>
        <w:widowControl/>
        <w:autoSpaceDE w:val="0"/>
        <w:autoSpaceDN w:val="0"/>
        <w:adjustRightInd w:val="0"/>
        <w:spacing w:line="600" w:lineRule="exact"/>
        <w:ind w:firstLine="560" w:firstLineChars="200"/>
        <w:rPr>
          <w:rFonts w:hint="eastAsia" w:ascii="仿宋_GB2312" w:eastAsia="仿宋_GB2312"/>
          <w:sz w:val="28"/>
          <w:szCs w:val="28"/>
        </w:rPr>
      </w:pPr>
    </w:p>
    <w:p w14:paraId="16A471B7">
      <w:pPr>
        <w:widowControl/>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如果我方违反上述承诺声明内容，愿意承担由此导致的一切不利后果和法律责任，接受军队采购管理部门和采购机构按国家和军队有关法规作出的相关处罚。</w:t>
      </w:r>
    </w:p>
    <w:p w14:paraId="638044C4">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0BCC752B">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30DEA0CE">
      <w:pPr>
        <w:widowControl/>
        <w:autoSpaceDE w:val="0"/>
        <w:autoSpaceDN w:val="0"/>
        <w:adjustRightInd w:val="0"/>
        <w:spacing w:line="600" w:lineRule="exact"/>
        <w:ind w:firstLine="560" w:firstLineChars="200"/>
        <w:rPr>
          <w:rFonts w:hint="eastAsia" w:ascii="仿宋_GB2312" w:eastAsia="仿宋_GB2312"/>
          <w:sz w:val="28"/>
          <w:szCs w:val="28"/>
        </w:rPr>
      </w:pPr>
    </w:p>
    <w:p w14:paraId="05F6E0FF">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67F3E2DA">
      <w:pPr>
        <w:spacing w:line="600" w:lineRule="exact"/>
        <w:ind w:firstLine="3080" w:firstLineChars="1100"/>
        <w:jc w:val="left"/>
        <w:rPr>
          <w:rFonts w:hint="eastAsia" w:ascii="仿宋_GB2312" w:hAnsi="宋体" w:eastAsia="仿宋_GB2312"/>
          <w:sz w:val="28"/>
          <w:szCs w:val="28"/>
        </w:rPr>
      </w:pPr>
      <w:r>
        <w:rPr>
          <w:rFonts w:hint="eastAsia" w:ascii="仿宋_GB2312" w:hAnsi="宋体" w:eastAsia="仿宋_GB2312"/>
          <w:sz w:val="28"/>
          <w:szCs w:val="28"/>
        </w:rPr>
        <w:t>法定代表人（或授权代表）：（签字）</w:t>
      </w:r>
    </w:p>
    <w:p w14:paraId="20D44830">
      <w:pPr>
        <w:pStyle w:val="3"/>
        <w:ind w:left="0" w:leftChars="0"/>
        <w:rPr>
          <w:rFonts w:hint="eastAsia"/>
        </w:rPr>
      </w:pPr>
    </w:p>
    <w:p w14:paraId="5CC921DF">
      <w:pPr>
        <w:wordWrap w:val="0"/>
        <w:jc w:val="right"/>
      </w:pPr>
      <w:r>
        <w:rPr>
          <w:rFonts w:hint="eastAsia" w:ascii="仿宋_GB2312" w:hAnsi="微软雅黑" w:eastAsia="仿宋_GB2312"/>
          <w:sz w:val="28"/>
          <w:szCs w:val="28"/>
        </w:rPr>
        <w:t xml:space="preserve">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4E532A8-72CD-406A-AA93-DB545BF0420E}"/>
  </w:font>
  <w:font w:name="黑体">
    <w:panose1 w:val="02010609060101010101"/>
    <w:charset w:val="86"/>
    <w:family w:val="auto"/>
    <w:pitch w:val="default"/>
    <w:sig w:usb0="800002BF" w:usb1="38CF7CFA" w:usb2="00000016" w:usb3="00000000" w:csb0="00040001" w:csb1="00000000"/>
    <w:embedRegular r:id="rId2" w:fontKey="{368E4BDF-1CD6-4C5C-AA97-75E34D088D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73C1FAB-416E-462B-BA9B-36C5B9405393}"/>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embedRegular r:id="rId4" w:fontKey="{BC38CF69-6AA6-4F29-8586-9E658CA91402}"/>
  </w:font>
  <w:font w:name="微软雅黑">
    <w:panose1 w:val="020B0503020204020204"/>
    <w:charset w:val="86"/>
    <w:family w:val="swiss"/>
    <w:pitch w:val="default"/>
    <w:sig w:usb0="80000287" w:usb1="2ACF3C50" w:usb2="00000016" w:usb3="00000000" w:csb0="0004001F" w:csb1="00000000"/>
    <w:embedRegular r:id="rId5" w:fontKey="{8923D351-CE7E-497A-9BD5-33B8378868DC}"/>
  </w:font>
  <w:font w:name="仿宋_GB2312">
    <w:altName w:val="仿宋"/>
    <w:panose1 w:val="00000000000000000000"/>
    <w:charset w:val="86"/>
    <w:family w:val="modern"/>
    <w:pitch w:val="default"/>
    <w:sig w:usb0="00000000" w:usb1="00000000" w:usb2="00000000" w:usb3="00000000" w:csb0="00040000" w:csb1="00000000"/>
    <w:embedRegular r:id="rId6" w:fontKey="{9F29C213-3CEB-413C-AF05-4C41BF46B619}"/>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7" w:fontKey="{3E2CCDA7-F78D-449D-81F2-DBFC0A381751}"/>
  </w:font>
  <w:font w:name="楷体_GB2312">
    <w:altName w:val="楷体"/>
    <w:panose1 w:val="00000000000000000000"/>
    <w:charset w:val="86"/>
    <w:family w:val="modern"/>
    <w:pitch w:val="default"/>
    <w:sig w:usb0="00000000" w:usb1="00000000" w:usb2="00000000" w:usb3="00000000" w:csb0="00040000" w:csb1="00000000"/>
    <w:embedRegular r:id="rId8" w:fontKey="{AC922DFB-7E05-42A1-B51D-B3BC72BF61ED}"/>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82A5A">
    <w:pPr>
      <w:snapToGrid w:val="0"/>
      <w:rPr>
        <w:rFonts w:hint="eastAsia"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5D67C">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227"/>
    <w:rsid w:val="004E50CB"/>
    <w:rsid w:val="004F6227"/>
    <w:rsid w:val="007A1349"/>
    <w:rsid w:val="00820025"/>
    <w:rsid w:val="073578DB"/>
    <w:rsid w:val="68566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nhideWhenUsed="0" w:uiPriority="0" w:semiHidden="0"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4"/>
    <w:semiHidden/>
    <w:unhideWhenUsed/>
    <w:qFormat/>
    <w:uiPriority w:val="99"/>
    <w:pPr>
      <w:spacing w:after="120"/>
      <w:ind w:left="420" w:leftChars="200"/>
    </w:pPr>
  </w:style>
  <w:style w:type="paragraph" w:styleId="3">
    <w:name w:val="index 4"/>
    <w:basedOn w:val="1"/>
    <w:next w:val="1"/>
    <w:unhideWhenUsed/>
    <w:qFormat/>
    <w:uiPriority w:val="99"/>
    <w:pPr>
      <w:ind w:left="600" w:leftChars="600"/>
    </w:pPr>
    <w:rPr>
      <w:rFonts w:ascii="Verdana" w:hAnsi="Verdana"/>
      <w:szCs w:val="20"/>
    </w:rPr>
  </w:style>
  <w:style w:type="paragraph" w:styleId="4">
    <w:name w:val="Body Text Indent 2"/>
    <w:basedOn w:val="1"/>
    <w:link w:val="13"/>
    <w:uiPriority w:val="0"/>
    <w:pPr>
      <w:spacing w:after="120" w:line="480" w:lineRule="auto"/>
      <w:ind w:left="420" w:leftChars="200"/>
    </w:pPr>
  </w:style>
  <w:style w:type="paragraph" w:styleId="5">
    <w:name w:val="footer"/>
    <w:basedOn w:val="1"/>
    <w:link w:val="12"/>
    <w:unhideWhenUsed/>
    <w:uiPriority w:val="0"/>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paragraph" w:styleId="8">
    <w:name w:val="Body Text First Indent 2"/>
    <w:basedOn w:val="2"/>
    <w:link w:val="15"/>
    <w:uiPriority w:val="0"/>
    <w:pPr>
      <w:ind w:firstLine="420" w:firstLineChars="200"/>
    </w:pPr>
  </w:style>
  <w:style w:type="character" w:customStyle="1" w:styleId="11">
    <w:name w:val="页眉 Char"/>
    <w:basedOn w:val="10"/>
    <w:link w:val="6"/>
    <w:uiPriority w:val="99"/>
    <w:rPr>
      <w:sz w:val="18"/>
      <w:szCs w:val="18"/>
    </w:rPr>
  </w:style>
  <w:style w:type="character" w:customStyle="1" w:styleId="12">
    <w:name w:val="页脚 Char"/>
    <w:basedOn w:val="10"/>
    <w:link w:val="5"/>
    <w:uiPriority w:val="0"/>
    <w:rPr>
      <w:sz w:val="18"/>
      <w:szCs w:val="18"/>
    </w:rPr>
  </w:style>
  <w:style w:type="character" w:customStyle="1" w:styleId="13">
    <w:name w:val="正文文本缩进 2 Char"/>
    <w:basedOn w:val="10"/>
    <w:link w:val="4"/>
    <w:uiPriority w:val="0"/>
    <w:rPr>
      <w:rFonts w:ascii="Times New Roman" w:hAnsi="Times New Roman" w:eastAsia="宋体" w:cs="Times New Roman"/>
      <w:szCs w:val="24"/>
    </w:rPr>
  </w:style>
  <w:style w:type="character" w:customStyle="1" w:styleId="14">
    <w:name w:val="正文文本缩进 Char"/>
    <w:basedOn w:val="10"/>
    <w:link w:val="2"/>
    <w:semiHidden/>
    <w:uiPriority w:val="99"/>
    <w:rPr>
      <w:rFonts w:ascii="Times New Roman" w:hAnsi="Times New Roman" w:eastAsia="宋体" w:cs="Times New Roman"/>
      <w:szCs w:val="24"/>
    </w:rPr>
  </w:style>
  <w:style w:type="character" w:customStyle="1" w:styleId="15">
    <w:name w:val="正文首行缩进 2 Char"/>
    <w:basedOn w:val="14"/>
    <w:link w:val="8"/>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3445</Words>
  <Characters>3680</Characters>
  <Lines>29</Lines>
  <Paragraphs>8</Paragraphs>
  <TotalTime>56</TotalTime>
  <ScaleCrop>false</ScaleCrop>
  <LinksUpToDate>false</LinksUpToDate>
  <CharactersWithSpaces>3934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2026-08-10T07:46:00Z</dcterms:created>
  <dc:creator>采购评审</dc:creator>
  <cp:lastModifiedBy>李振洪</cp:lastModifiedBy>
  <dcterms:modified xsi:type="dcterms:W3CDTF">2026-08-11T08:21:52Z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AA24A5DD38C841609199A93247A13B25_13</vt:lpwstr>
  </property>
  <property fmtid="{D5CDD505-2E9C-101B-9397-08002B2CF9AE}" pid="4" name="KSOTemplateDocerSaveRecord">
    <vt:lpwstr>eyJoZGlkIjoiNjFhMjJmZmFkYTg3M2JjNTg3ZjcwMWM2YzFiNWM3NjQiLCJ1c2VySWQiOiI2NTM1NzQ3NjgifQ==</vt:lpwstr>
  </property>
</Properties>
</file>