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9D23DE">
      <w:pPr>
        <w:rPr>
          <w:rFonts w:hint="eastAsia"/>
          <w:sz w:val="36"/>
          <w:szCs w:val="36"/>
        </w:rPr>
      </w:pPr>
    </w:p>
    <w:p w14:paraId="43485F22">
      <w:pPr>
        <w:jc w:val="center"/>
        <w:rPr>
          <w:sz w:val="36"/>
          <w:szCs w:val="36"/>
        </w:rPr>
      </w:pPr>
    </w:p>
    <w:p w14:paraId="37C99326">
      <w:pPr>
        <w:jc w:val="center"/>
        <w:rPr>
          <w:rFonts w:hint="eastAsia" w:eastAsia="方正小标宋简体"/>
          <w:sz w:val="84"/>
          <w:szCs w:val="84"/>
        </w:rPr>
      </w:pPr>
      <w:r>
        <w:rPr>
          <w:rFonts w:hint="eastAsia" w:eastAsia="方正小标宋简体"/>
          <w:sz w:val="84"/>
          <w:szCs w:val="84"/>
        </w:rPr>
        <w:t>比</w:t>
      </w:r>
      <w:r>
        <w:rPr>
          <w:rFonts w:eastAsia="方正小标宋简体"/>
          <w:sz w:val="84"/>
          <w:szCs w:val="84"/>
        </w:rPr>
        <w:t>价文件</w:t>
      </w:r>
    </w:p>
    <w:p w14:paraId="47797C86">
      <w:pPr>
        <w:jc w:val="center"/>
        <w:rPr>
          <w:rFonts w:hint="eastAsia" w:eastAsia="华文中宋"/>
          <w:sz w:val="36"/>
          <w:szCs w:val="36"/>
        </w:rPr>
      </w:pPr>
    </w:p>
    <w:p w14:paraId="7C546E49">
      <w:pPr>
        <w:jc w:val="center"/>
        <w:rPr>
          <w:rFonts w:hint="eastAsia" w:eastAsia="华文中宋"/>
          <w:sz w:val="36"/>
          <w:szCs w:val="36"/>
        </w:rPr>
      </w:pPr>
    </w:p>
    <w:p w14:paraId="4B051116">
      <w:pPr>
        <w:jc w:val="center"/>
        <w:rPr>
          <w:rFonts w:hint="eastAsia" w:eastAsia="华文中宋"/>
          <w:sz w:val="36"/>
          <w:szCs w:val="36"/>
        </w:rPr>
      </w:pPr>
    </w:p>
    <w:p w14:paraId="26F92046">
      <w:pPr>
        <w:ind w:left="762" w:leftChars="363" w:firstLine="960" w:firstLineChars="300"/>
        <w:rPr>
          <w:rFonts w:ascii="微软雅黑" w:hAnsi="微软雅黑" w:eastAsia="微软雅黑"/>
          <w:bCs/>
          <w:color w:val="000000"/>
          <w:sz w:val="32"/>
          <w:szCs w:val="32"/>
        </w:rPr>
      </w:pPr>
    </w:p>
    <w:tbl>
      <w:tblPr>
        <w:tblStyle w:val="9"/>
        <w:tblW w:w="0" w:type="auto"/>
        <w:jc w:val="center"/>
        <w:tblLayout w:type="fixed"/>
        <w:tblCellMar>
          <w:top w:w="0" w:type="dxa"/>
          <w:left w:w="108" w:type="dxa"/>
          <w:bottom w:w="0" w:type="dxa"/>
          <w:right w:w="108" w:type="dxa"/>
        </w:tblCellMar>
      </w:tblPr>
      <w:tblGrid>
        <w:gridCol w:w="1883"/>
        <w:gridCol w:w="6106"/>
      </w:tblGrid>
      <w:tr w14:paraId="439B3C3A">
        <w:tblPrEx>
          <w:tblCellMar>
            <w:top w:w="0" w:type="dxa"/>
            <w:left w:w="108" w:type="dxa"/>
            <w:bottom w:w="0" w:type="dxa"/>
            <w:right w:w="108" w:type="dxa"/>
          </w:tblCellMar>
        </w:tblPrEx>
        <w:trPr>
          <w:jc w:val="center"/>
        </w:trPr>
        <w:tc>
          <w:tcPr>
            <w:tcW w:w="1883" w:type="dxa"/>
            <w:noWrap w:val="0"/>
            <w:vAlign w:val="top"/>
          </w:tcPr>
          <w:p w14:paraId="4554E2D5">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项目名称：</w:t>
            </w:r>
          </w:p>
        </w:tc>
        <w:tc>
          <w:tcPr>
            <w:tcW w:w="6106" w:type="dxa"/>
            <w:noWrap w:val="0"/>
            <w:vAlign w:val="top"/>
          </w:tcPr>
          <w:p w14:paraId="455A08BB">
            <w:pPr>
              <w:widowControl/>
              <w:shd w:val="clear" w:color="auto" w:fill="FFFFFF"/>
              <w:spacing w:line="555" w:lineRule="atLeast"/>
              <w:jc w:val="left"/>
              <w:rPr>
                <w:rFonts w:hint="eastAsia" w:ascii="黑体" w:hAnsi="黑体" w:eastAsia="黑体"/>
                <w:sz w:val="28"/>
                <w:szCs w:val="28"/>
              </w:rPr>
            </w:pPr>
            <w:r>
              <w:rPr>
                <w:rFonts w:hint="eastAsia" w:ascii="微软雅黑" w:hAnsi="微软雅黑" w:eastAsia="微软雅黑"/>
                <w:bCs/>
                <w:color w:val="000000"/>
                <w:sz w:val="32"/>
                <w:szCs w:val="32"/>
              </w:rPr>
              <w:t>某单位广播系统</w:t>
            </w:r>
          </w:p>
        </w:tc>
      </w:tr>
      <w:tr w14:paraId="0A306AAD">
        <w:tblPrEx>
          <w:tblCellMar>
            <w:top w:w="0" w:type="dxa"/>
            <w:left w:w="108" w:type="dxa"/>
            <w:bottom w:w="0" w:type="dxa"/>
            <w:right w:w="108" w:type="dxa"/>
          </w:tblCellMar>
        </w:tblPrEx>
        <w:trPr>
          <w:jc w:val="center"/>
        </w:trPr>
        <w:tc>
          <w:tcPr>
            <w:tcW w:w="1883" w:type="dxa"/>
            <w:noWrap w:val="0"/>
            <w:vAlign w:val="top"/>
          </w:tcPr>
          <w:p w14:paraId="48DB8938">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项目编号：</w:t>
            </w:r>
          </w:p>
        </w:tc>
        <w:tc>
          <w:tcPr>
            <w:tcW w:w="6106" w:type="dxa"/>
            <w:noWrap w:val="0"/>
            <w:vAlign w:val="top"/>
          </w:tcPr>
          <w:p w14:paraId="36FE1A51">
            <w:pPr>
              <w:widowControl/>
              <w:shd w:val="clear" w:color="auto" w:fill="FFFFFF"/>
              <w:spacing w:line="555" w:lineRule="atLeast"/>
              <w:jc w:val="left"/>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2026-YKGJGXFWBZ-W9003</w:t>
            </w:r>
          </w:p>
          <w:p w14:paraId="25A112CE">
            <w:pPr>
              <w:rPr>
                <w:rFonts w:ascii="微软雅黑" w:hAnsi="微软雅黑" w:eastAsia="黑体"/>
                <w:bCs/>
                <w:color w:val="000000"/>
                <w:sz w:val="32"/>
                <w:szCs w:val="32"/>
              </w:rPr>
            </w:pPr>
          </w:p>
        </w:tc>
      </w:tr>
    </w:tbl>
    <w:p w14:paraId="34F4CCE3">
      <w:pPr>
        <w:jc w:val="center"/>
        <w:rPr>
          <w:rFonts w:hint="eastAsia" w:eastAsia="华文中宋"/>
          <w:sz w:val="36"/>
          <w:szCs w:val="36"/>
        </w:rPr>
      </w:pPr>
    </w:p>
    <w:p w14:paraId="105C3298">
      <w:pPr>
        <w:jc w:val="center"/>
        <w:rPr>
          <w:rFonts w:hint="eastAsia" w:eastAsia="华文中宋"/>
          <w:sz w:val="36"/>
          <w:szCs w:val="36"/>
        </w:rPr>
      </w:pPr>
    </w:p>
    <w:p w14:paraId="4A01F818">
      <w:pPr>
        <w:jc w:val="center"/>
        <w:rPr>
          <w:rFonts w:hint="eastAsia" w:eastAsia="华文中宋"/>
          <w:sz w:val="36"/>
          <w:szCs w:val="36"/>
        </w:rPr>
      </w:pPr>
    </w:p>
    <w:p w14:paraId="04A6CCEB">
      <w:pPr>
        <w:jc w:val="center"/>
        <w:rPr>
          <w:rFonts w:hint="eastAsia" w:eastAsia="华文中宋"/>
          <w:sz w:val="36"/>
          <w:szCs w:val="36"/>
        </w:rPr>
      </w:pPr>
    </w:p>
    <w:p w14:paraId="25DCD01F">
      <w:pPr>
        <w:jc w:val="center"/>
        <w:rPr>
          <w:rFonts w:hint="eastAsia" w:eastAsia="华文中宋"/>
          <w:sz w:val="36"/>
          <w:szCs w:val="36"/>
        </w:rPr>
      </w:pPr>
    </w:p>
    <w:p w14:paraId="614DB4F8">
      <w:pPr>
        <w:spacing w:line="560" w:lineRule="exact"/>
        <w:jc w:val="center"/>
        <w:rPr>
          <w:rFonts w:hint="eastAsia" w:eastAsia="黑体"/>
          <w:sz w:val="28"/>
          <w:szCs w:val="28"/>
        </w:rPr>
      </w:pPr>
      <w:r>
        <w:rPr>
          <w:rFonts w:hint="eastAsia" w:eastAsia="黑体"/>
          <w:sz w:val="28"/>
          <w:szCs w:val="28"/>
        </w:rPr>
        <w:t>某单位</w:t>
      </w:r>
    </w:p>
    <w:p w14:paraId="5A27F331">
      <w:pPr>
        <w:spacing w:line="560" w:lineRule="exact"/>
        <w:rPr>
          <w:rFonts w:hint="eastAsia" w:eastAsia="黑体"/>
          <w:sz w:val="28"/>
          <w:szCs w:val="28"/>
        </w:rPr>
        <w:sectPr>
          <w:footerReference r:id="rId3" w:type="default"/>
          <w:footerReference r:id="rId4" w:type="even"/>
          <w:pgSz w:w="11906" w:h="16838"/>
          <w:pgMar w:top="2098" w:right="1474" w:bottom="1985" w:left="1588" w:header="851" w:footer="992" w:gutter="0"/>
          <w:pgNumType w:start="1" w:chapSep="emDash"/>
          <w:cols w:space="720" w:num="1"/>
          <w:docGrid w:type="lines" w:linePitch="312" w:charSpace="0"/>
        </w:sectPr>
      </w:pPr>
    </w:p>
    <w:p w14:paraId="09FCCB80">
      <w:pPr>
        <w:jc w:val="center"/>
        <w:rPr>
          <w:rFonts w:hint="eastAsia" w:ascii="黑体" w:hAnsi="黑体" w:eastAsia="黑体" w:cs="黑体"/>
          <w:sz w:val="32"/>
          <w:szCs w:val="32"/>
        </w:rPr>
      </w:pPr>
      <w:r>
        <w:rPr>
          <w:rFonts w:hint="eastAsia" w:ascii="黑体" w:hAnsi="黑体" w:eastAsia="黑体" w:cs="黑体"/>
          <w:sz w:val="32"/>
          <w:szCs w:val="32"/>
        </w:rPr>
        <w:t>采购内容明细</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477"/>
        <w:gridCol w:w="7255"/>
        <w:gridCol w:w="992"/>
        <w:gridCol w:w="1134"/>
        <w:gridCol w:w="1446"/>
      </w:tblGrid>
      <w:tr w14:paraId="0563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32" w:type="dxa"/>
            <w:noWrap w:val="0"/>
            <w:vAlign w:val="center"/>
          </w:tcPr>
          <w:p w14:paraId="74AA470E">
            <w:pPr>
              <w:widowControl/>
              <w:jc w:val="center"/>
              <w:rPr>
                <w:rFonts w:hint="eastAsia" w:ascii="Times New Roman" w:hAnsi="Times New Roman" w:eastAsia="黑体"/>
                <w:kern w:val="0"/>
                <w:szCs w:val="21"/>
              </w:rPr>
            </w:pPr>
            <w:r>
              <w:rPr>
                <w:rFonts w:hint="eastAsia" w:ascii="Times New Roman" w:hAnsi="Times New Roman" w:eastAsia="黑体"/>
                <w:kern w:val="0"/>
                <w:szCs w:val="21"/>
              </w:rPr>
              <w:t>序号</w:t>
            </w:r>
          </w:p>
        </w:tc>
        <w:tc>
          <w:tcPr>
            <w:tcW w:w="1477" w:type="dxa"/>
            <w:noWrap w:val="0"/>
            <w:vAlign w:val="center"/>
          </w:tcPr>
          <w:p w14:paraId="4970F705">
            <w:pPr>
              <w:widowControl/>
              <w:jc w:val="center"/>
              <w:rPr>
                <w:rFonts w:hint="eastAsia" w:ascii="Times New Roman" w:hAnsi="Times New Roman" w:eastAsia="黑体"/>
                <w:kern w:val="0"/>
                <w:szCs w:val="21"/>
              </w:rPr>
            </w:pPr>
            <w:r>
              <w:rPr>
                <w:rFonts w:hint="eastAsia" w:ascii="Times New Roman" w:hAnsi="Times New Roman" w:eastAsia="黑体"/>
                <w:kern w:val="0"/>
                <w:szCs w:val="21"/>
              </w:rPr>
              <w:t>名称</w:t>
            </w:r>
          </w:p>
        </w:tc>
        <w:tc>
          <w:tcPr>
            <w:tcW w:w="7255" w:type="dxa"/>
            <w:noWrap w:val="0"/>
            <w:vAlign w:val="center"/>
          </w:tcPr>
          <w:p w14:paraId="7E5BEE99">
            <w:pPr>
              <w:widowControl/>
              <w:spacing w:before="94" w:beforeLines="30" w:after="94" w:afterLines="30" w:line="312" w:lineRule="auto"/>
              <w:jc w:val="center"/>
              <w:rPr>
                <w:rFonts w:hint="eastAsia" w:ascii="Times New Roman" w:hAnsi="Times New Roman" w:eastAsia="黑体"/>
                <w:kern w:val="0"/>
                <w:szCs w:val="21"/>
              </w:rPr>
            </w:pPr>
            <w:r>
              <w:rPr>
                <w:rFonts w:hint="eastAsia" w:ascii="Times New Roman" w:hAnsi="Times New Roman" w:eastAsia="黑体"/>
                <w:kern w:val="0"/>
                <w:szCs w:val="21"/>
              </w:rPr>
              <w:t>具体参数</w:t>
            </w:r>
          </w:p>
        </w:tc>
        <w:tc>
          <w:tcPr>
            <w:tcW w:w="992" w:type="dxa"/>
            <w:noWrap w:val="0"/>
            <w:vAlign w:val="center"/>
          </w:tcPr>
          <w:p w14:paraId="34FADF9D">
            <w:pPr>
              <w:widowControl/>
              <w:jc w:val="center"/>
              <w:rPr>
                <w:rFonts w:hint="eastAsia" w:ascii="Times New Roman" w:hAnsi="Times New Roman" w:eastAsia="黑体"/>
                <w:color w:val="000000"/>
                <w:kern w:val="0"/>
                <w:szCs w:val="21"/>
              </w:rPr>
            </w:pPr>
            <w:r>
              <w:rPr>
                <w:rFonts w:hint="eastAsia" w:ascii="Times New Roman" w:hAnsi="Times New Roman" w:eastAsia="黑体"/>
                <w:color w:val="000000"/>
                <w:kern w:val="0"/>
                <w:szCs w:val="21"/>
              </w:rPr>
              <w:t>数量</w:t>
            </w:r>
          </w:p>
        </w:tc>
        <w:tc>
          <w:tcPr>
            <w:tcW w:w="1134" w:type="dxa"/>
            <w:noWrap w:val="0"/>
            <w:vAlign w:val="center"/>
          </w:tcPr>
          <w:p w14:paraId="6779AC7E">
            <w:pPr>
              <w:widowControl/>
              <w:jc w:val="center"/>
              <w:rPr>
                <w:rFonts w:hint="eastAsia" w:ascii="Times New Roman" w:hAnsi="Times New Roman" w:eastAsia="黑体"/>
                <w:color w:val="000000"/>
                <w:kern w:val="0"/>
                <w:szCs w:val="21"/>
              </w:rPr>
            </w:pPr>
            <w:r>
              <w:rPr>
                <w:rFonts w:hint="eastAsia" w:ascii="Times New Roman" w:hAnsi="Times New Roman" w:eastAsia="黑体"/>
                <w:color w:val="000000"/>
                <w:kern w:val="0"/>
                <w:szCs w:val="21"/>
              </w:rPr>
              <w:t>单位</w:t>
            </w:r>
          </w:p>
        </w:tc>
        <w:tc>
          <w:tcPr>
            <w:tcW w:w="1446" w:type="dxa"/>
            <w:noWrap w:val="0"/>
            <w:vAlign w:val="center"/>
          </w:tcPr>
          <w:p w14:paraId="76D4C37C">
            <w:pPr>
              <w:widowControl/>
              <w:jc w:val="center"/>
              <w:rPr>
                <w:rFonts w:hint="eastAsia" w:ascii="Times New Roman" w:hAnsi="Times New Roman" w:eastAsia="黑体"/>
                <w:color w:val="000000"/>
                <w:kern w:val="0"/>
                <w:szCs w:val="21"/>
              </w:rPr>
            </w:pPr>
            <w:r>
              <w:rPr>
                <w:rFonts w:hint="eastAsia" w:ascii="Times New Roman" w:hAnsi="Times New Roman" w:eastAsia="黑体"/>
                <w:color w:val="000000"/>
                <w:kern w:val="0"/>
                <w:szCs w:val="21"/>
              </w:rPr>
              <w:t>推荐品牌</w:t>
            </w:r>
          </w:p>
        </w:tc>
      </w:tr>
      <w:tr w14:paraId="0B4E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677F1371">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477" w:type="dxa"/>
            <w:noWrap w:val="0"/>
            <w:vAlign w:val="center"/>
          </w:tcPr>
          <w:p w14:paraId="5C0B7C1C">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智慧广播软件</w:t>
            </w:r>
          </w:p>
        </w:tc>
        <w:tc>
          <w:tcPr>
            <w:tcW w:w="7255" w:type="dxa"/>
            <w:noWrap w:val="0"/>
            <w:vAlign w:val="center"/>
          </w:tcPr>
          <w:p w14:paraId="4F38F3C9">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1.智慧广播软件需结合TCP/UDP技术和数字音频技术，需采用B/S架构。</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2.需支持多操作系统，包括Windows</w:t>
            </w:r>
            <w:r>
              <w:rPr>
                <w:rFonts w:hint="eastAsia" w:ascii="Times New Roman" w:hAnsi="Times New Roman" w:eastAsia="仿宋_GB2312"/>
                <w:kern w:val="0"/>
                <w:szCs w:val="21"/>
                <w:lang w:eastAsia="zh-CN"/>
              </w:rPr>
              <w:t>、</w:t>
            </w:r>
            <w:r>
              <w:rPr>
                <w:rFonts w:hint="eastAsia" w:ascii="Times New Roman" w:hAnsi="Times New Roman" w:eastAsia="仿宋_GB2312"/>
                <w:kern w:val="0"/>
                <w:szCs w:val="21"/>
              </w:rPr>
              <w:t>Linux</w:t>
            </w:r>
            <w:r>
              <w:rPr>
                <w:rFonts w:hint="eastAsia" w:ascii="Times New Roman" w:hAnsi="Times New Roman" w:eastAsia="仿宋_GB2312"/>
                <w:kern w:val="0"/>
                <w:szCs w:val="21"/>
                <w:lang w:eastAsia="zh-CN"/>
              </w:rPr>
              <w:t>、</w:t>
            </w:r>
            <w:r>
              <w:rPr>
                <w:rFonts w:hint="eastAsia" w:ascii="Times New Roman" w:hAnsi="Times New Roman" w:eastAsia="仿宋_GB2312"/>
                <w:kern w:val="0"/>
                <w:szCs w:val="21"/>
              </w:rPr>
              <w:t>国产麒麟操作系统，兼容性与安全性更高，支持多级管理与系统级无限扩展。</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3.需支持多种部署方式，包括公有云，私有云，以及专网部署。</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4.需具备定时打铃：支持多套定时打铃方案，方案内可编制任意数量的打铃任务，支持一键复制/禁用/启用方案或任务，实现全自动无人值守校园铃声播报，满足各时间段多场景播报需求。</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5.需具备实时广播：可对任意单点、分组或全区执行实时音频/文本，实时采播，一键寻呼喊话任务，高同步性和实时性，最多支持≥50路广播并发。</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6.需具备定时广播：服务器根据编制好的任务定时、定点自动播出，支持定时音频/文本/采播广播，可批量创建多时段定时任务，支持一键启用/禁用，高可控性和智慧化。</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7.需具备短路联动：支持全区分区消防联动，短路输入输出端口联动自由配置，自动化的安全机制，可远程控制设备强切输出，包括短路输出和广播播放。</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8.需具备实况监听：可对广播内容进行实时监听，也可实时循环监听终端周围环境声音实况，不影响广播节目播放。</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9.需具备文字转语音：内置嵌入式TTS语音引擎支持TTS文字转语音广播，可提供不同人声、语速等个性化定制服务，支持导入TXT文本。</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10.需具备考试模式：支持考试模式，网络与定压备份无缝切换，满足考场高可靠性、冗余性要求。</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11.需具备节目离线播放：可通过网络远程推送定时广播内容至任务覆盖的终端，实现终端离线自动播放功能。</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12.需支持多操作系统，包括Windows，Linux，国产麒麟操作系统，兼容性与安全性更高，支持多级管理与系统级无限扩展。</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13.需支持多种部署方式，包括公有云，私有云，以及专网部署。</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14.需支持在全国产服务器上的文转语，文本广播功能，无需配置额外的设备。</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15.需具备首页快捷功能：首页可自定义添加常用功能，一键快速创建广播任务。</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16.需具备可视化数据统计：可视化图表展示任务分类和任务数据统计，支持系统任务列表查看和详情页查看，任务信息一目了然。</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17.需具备系统日志：系统支持日志查询和导出，用户日志，系统日志，设备日志，任务日志灵活查看。</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18.需具备系统备份：用户可选择自动，手动，或者上传备份文件进行系统备份。</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19.需具备优先级设置：智能管控和设置不同任务类型优先级，可按需灵活设置，系统智能检测任务优先级冲突。</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20.需具备预设电源控制：通过软件预设终端自带电源提前打开，双重保障任务在终端播放成功。</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21.需具备自由点播：通过智能语音播控台，实现系统服务器媒体库中节目的任意点播。</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22.需具备媒体库管理智慧媒体库可存储数千小时以上的音乐或语音节目，为所有音频终端提供定时播放和实时点播媒体服务，支持音频共享、试听、下载。</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23.需具备设备管理：支持Web模式远程登录管理控制所有设备，支持远程升级设备；支持将设备添加至设备地图，可视化管控设备，地图上划定范围快速发起广播。</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24.需具备分组管理：支持设备在线分组设置，通过Web页面后台或分控客户端均可轻松进行设备分组管理。</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25.需具备用户管理：系统可设置管理员，高级用户，普通用户多种角色，可按需自定义角色操作权限，提供不同的操作界面，人性化管理不同用户需求。</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26.需具备分控账号管理：支持同一账号实现终端与广播系统平台同步登录，数据自动同步，支持多台设备同时登录，支持分控账号管理远程节目播放管理。</w:t>
            </w:r>
          </w:p>
        </w:tc>
        <w:tc>
          <w:tcPr>
            <w:tcW w:w="992" w:type="dxa"/>
            <w:noWrap w:val="0"/>
            <w:vAlign w:val="center"/>
          </w:tcPr>
          <w:p w14:paraId="37469973">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117025EC">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套</w:t>
            </w:r>
          </w:p>
        </w:tc>
        <w:tc>
          <w:tcPr>
            <w:tcW w:w="1446" w:type="dxa"/>
            <w:noWrap w:val="0"/>
            <w:vAlign w:val="center"/>
          </w:tcPr>
          <w:p w14:paraId="1EBC6555">
            <w:pPr>
              <w:widowControl/>
              <w:jc w:val="both"/>
              <w:rPr>
                <w:rFonts w:hint="eastAsia" w:ascii="Times New Roman" w:hAnsi="Times New Roman" w:eastAsia="仿宋_GB2312"/>
                <w:color w:val="000000"/>
                <w:kern w:val="0"/>
                <w:szCs w:val="21"/>
                <w:lang w:val="en-US" w:eastAsia="zh-CN"/>
              </w:rPr>
            </w:pPr>
            <w:r>
              <w:rPr>
                <w:rFonts w:hint="eastAsia" w:ascii="Times New Roman" w:hAnsi="Times New Roman" w:eastAsia="仿宋_GB2312"/>
                <w:color w:val="000000"/>
                <w:kern w:val="0"/>
                <w:szCs w:val="21"/>
              </w:rPr>
              <w:t>TAIDEN、ITC、迪士普</w:t>
            </w:r>
          </w:p>
        </w:tc>
      </w:tr>
      <w:tr w14:paraId="4ABD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315ED1AD">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2</w:t>
            </w:r>
          </w:p>
        </w:tc>
        <w:tc>
          <w:tcPr>
            <w:tcW w:w="1477" w:type="dxa"/>
            <w:noWrap w:val="0"/>
            <w:vAlign w:val="center"/>
          </w:tcPr>
          <w:p w14:paraId="73EDCD01">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播放机</w:t>
            </w:r>
          </w:p>
        </w:tc>
        <w:tc>
          <w:tcPr>
            <w:tcW w:w="7255" w:type="dxa"/>
            <w:noWrap w:val="0"/>
            <w:vAlign w:val="center"/>
          </w:tcPr>
          <w:p w14:paraId="2EA238BD">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1.采用双解码双显示屏设计，MP3、CD独立解码工作，音源运行互不干扰。</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2.光碟兼MPEG</w:t>
            </w:r>
            <w:r>
              <w:rPr>
                <w:rFonts w:hint="eastAsia" w:ascii="Times New Roman" w:hAnsi="Times New Roman" w:eastAsia="仿宋_GB2312"/>
                <w:kern w:val="0"/>
                <w:szCs w:val="21"/>
                <w:lang w:val="en-US" w:eastAsia="zh-CN"/>
              </w:rPr>
              <w:t>-</w:t>
            </w:r>
            <w:r>
              <w:rPr>
                <w:rFonts w:hint="eastAsia" w:ascii="Times New Roman" w:hAnsi="Times New Roman" w:eastAsia="仿宋_GB2312"/>
                <w:kern w:val="0"/>
                <w:szCs w:val="21"/>
              </w:rPr>
              <w:t>4/DVD/SVCD/VCD/CD/MP3/WAVE/WMA/CDR-RW播放格式。</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3.模拟音频输出 ：-10dB, 非平衡立体声, 1路混音输出，1路光盘输出，1路USB播放输出（提供实物图并对相关接口进行说明）</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4.视频输出：复合视频输出。</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5.支持USB文件夹播放、多模式循环播放、通电自动播放+断电记忆播放，光盘支持逐行/隔行扫描切换。</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6.音频解码AC-3、DTS、HDCD，视频制式兼容NTSC、PAL、PAL60，面板自带操作按键，标配全功能遥控器。</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7.性能指标：频率响应20Hz～20kHz，信噪比＞80dB，总谐波失真＜0.1%，整机功耗＜10W，输入电压220</w:t>
            </w:r>
            <w:r>
              <w:rPr>
                <w:rFonts w:hint="eastAsia" w:ascii="Times New Roman" w:hAnsi="Times New Roman" w:eastAsia="微软雅黑"/>
                <w:kern w:val="0"/>
                <w:szCs w:val="21"/>
              </w:rPr>
              <w:t>–</w:t>
            </w:r>
            <w:r>
              <w:rPr>
                <w:rFonts w:hint="eastAsia" w:ascii="Times New Roman" w:hAnsi="Times New Roman" w:eastAsia="仿宋_GB2312"/>
                <w:kern w:val="0"/>
                <w:szCs w:val="21"/>
              </w:rPr>
              <w:t>240VAC。</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8.标准2U机架式设备，适配0℃-40℃、湿度≤95%室内机房环境使用。</w:t>
            </w:r>
          </w:p>
        </w:tc>
        <w:tc>
          <w:tcPr>
            <w:tcW w:w="992" w:type="dxa"/>
            <w:noWrap w:val="0"/>
            <w:vAlign w:val="center"/>
          </w:tcPr>
          <w:p w14:paraId="10532B0F">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3D545819">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02936B6D">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声优诺、TAIDEN、双优</w:t>
            </w:r>
          </w:p>
        </w:tc>
      </w:tr>
      <w:tr w14:paraId="2CEE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3939C130">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3</w:t>
            </w:r>
          </w:p>
        </w:tc>
        <w:tc>
          <w:tcPr>
            <w:tcW w:w="1477" w:type="dxa"/>
            <w:noWrap w:val="0"/>
            <w:vAlign w:val="center"/>
          </w:tcPr>
          <w:p w14:paraId="7A9D90BD">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IP编码器</w:t>
            </w:r>
          </w:p>
        </w:tc>
        <w:tc>
          <w:tcPr>
            <w:tcW w:w="7255" w:type="dxa"/>
            <w:noWrap w:val="0"/>
            <w:vAlign w:val="center"/>
          </w:tcPr>
          <w:p w14:paraId="5680AD74">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1.标准机柜式≤1U高度。</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2.需内置音频采集编码模块，可将模拟音频可采集到IP网络广播系统任意终端，音频采集延时≤100ms。</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3.≥3路线路（LINE）和≥3路（MIC）输入，每个通道独立音量大小调节功能，带总音量调节旋钮。</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4.需内置MP3播放器，带蓝牙音乐播放，面板自带功能按键，功能键包括上-曲、下一曲、播放/暂停。</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5.≥11个快捷键，可自定义给终端播放背景音乐，操作快捷方便，一键把背景音乐播放到指定的终端或分区。</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6.支持硬件音频解码，采样音频硬件编码、固件支持网络升级、多路信源混音等。</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7.≥1路短路信号输入，可接入联动触发信号，有紧急情况时可触发终端报警。</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8.≥1路短路信号输出，紧急情况时可联动触发其它设备。</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9.需内置监听喇叭，可监听播放的任务内容。带一个监听音量控制旋钮，声音大小可调节。</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10.需带复位按钮，支持一键恢复出厂设置，方便工程项目现场调试。</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11.≥1路调试口，方便日常对该终端程序调试升级。</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12.支持串口扩展，≥1路RS232串行输入输出接口，可与外部音源设备通讯。</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13.≥2路电源输出控制，根据广播状态自动控制外接设备的电源开与关。</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14.需支持DHCP，兼容路由器、交换机、网桥网关、Modem、Intelnet.2G、3G、4G、组播、单播等任意网络结构。</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15.需采用固定静态的IP地址，当网络发生改变时地址不会丢失，工作稳定。</w:t>
            </w:r>
          </w:p>
        </w:tc>
        <w:tc>
          <w:tcPr>
            <w:tcW w:w="992" w:type="dxa"/>
            <w:noWrap w:val="0"/>
            <w:vAlign w:val="center"/>
          </w:tcPr>
          <w:p w14:paraId="2C265D21">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584A7BF8">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47C0BEFB">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19F1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7994CE64">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4</w:t>
            </w:r>
          </w:p>
        </w:tc>
        <w:tc>
          <w:tcPr>
            <w:tcW w:w="1477" w:type="dxa"/>
            <w:noWrap w:val="0"/>
            <w:vAlign w:val="center"/>
          </w:tcPr>
          <w:p w14:paraId="1FE3C4B1">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功率放大器</w:t>
            </w:r>
          </w:p>
        </w:tc>
        <w:tc>
          <w:tcPr>
            <w:tcW w:w="7255" w:type="dxa"/>
            <w:noWrap w:val="0"/>
            <w:vAlign w:val="center"/>
          </w:tcPr>
          <w:p w14:paraId="26492967">
            <w:pPr>
              <w:widowControl/>
              <w:spacing w:before="94" w:beforeLines="30" w:after="94" w:afterLines="30" w:line="312" w:lineRule="auto"/>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1.标准1机架式≤2U高度。</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2.需具备固定静态的IP地址，工作稳定，网络发生改变时地址不会丢失。</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3.内置≥1路网络硬件音频解码模块，支持TCP/IP、UDP、IGMP(组播)。</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4.≥3路MIC输入，≥1路AUX输入，≥1路AUX输出，MIC1具有强插默音功能。</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5.需具备数字音频多功能分区组合、全区广播功能。</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6.需具备报警信号优先，自动强插，带24V强切功能、2位凤凰端子。</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7.需具备智能电源管理，无音乐或呼叫时，设备自动切断主电源，进入待机状态。</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8.待机功率小于3W，满足国家节能认证的标准。</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9.需具备AUX、MIC及网络音源，具有独立的音量和高低音调节。</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10.≥1组音频信号输出，可外接功率放大器或有源音箱。</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11.≥5位LED灯显示电平，功放电源接通指示灯，保护指示灯，整机电源指示灯。</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12.需具备温度风机冷却功能。</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13.内置≥280W功率放大器，可外接定阻（4-16Ω）及定压（70V、100V）功率输出。</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14.需具备保护电路：直流输出、过载、过温、短警保护电路。</w:t>
            </w:r>
          </w:p>
        </w:tc>
        <w:tc>
          <w:tcPr>
            <w:tcW w:w="992" w:type="dxa"/>
            <w:noWrap w:val="0"/>
            <w:vAlign w:val="center"/>
          </w:tcPr>
          <w:p w14:paraId="1A47E029">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5</w:t>
            </w:r>
          </w:p>
        </w:tc>
        <w:tc>
          <w:tcPr>
            <w:tcW w:w="1134" w:type="dxa"/>
            <w:noWrap w:val="0"/>
            <w:vAlign w:val="center"/>
          </w:tcPr>
          <w:p w14:paraId="23B3AE23">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4932360C">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5525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7DD1140C">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5</w:t>
            </w:r>
          </w:p>
        </w:tc>
        <w:tc>
          <w:tcPr>
            <w:tcW w:w="1477" w:type="dxa"/>
            <w:noWrap w:val="0"/>
            <w:vAlign w:val="center"/>
          </w:tcPr>
          <w:p w14:paraId="7D000E80">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数字调谐器</w:t>
            </w:r>
          </w:p>
        </w:tc>
        <w:tc>
          <w:tcPr>
            <w:tcW w:w="7255" w:type="dxa"/>
            <w:noWrap w:val="0"/>
            <w:vAlign w:val="center"/>
          </w:tcPr>
          <w:p w14:paraId="77F77AC3">
            <w:pPr>
              <w:widowControl/>
              <w:spacing w:before="94" w:beforeLines="30" w:after="94" w:afterLines="30" w:line="312" w:lineRule="auto"/>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1.一体化多功能机型，内置FM调谐器、蓝牙4.2模块、USB播放、独立录音四大功能，支持模式一键切换（FM/USB/蓝牙/录音）。</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2.机身配置7位数码LED状态显示屏，面板搭载12枚功能按键+1枚独立录音按键，面板及遥控器均配备待机按键，标配全功能遥控器。</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3.天线配置双路独立天线，1路外置FM专用天线、1路蓝牙隐藏式天线，蓝牙接收距离≥10米，FM频段87.5～108MHz，支持自动搜台存储+断电记忆。</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4.音接口规格：1路RCA非平衡立体声录音输入、1路RCA非平衡立体声输出；USB播放、录音均兼容WAV/WMA/MP3格式音频。</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5.音质性能：频率响应20Hz～20kHz；FM信噪比≥45dB、失真＜1%；USB/蓝牙信噪比＞80dB、失真＜0.1%。</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6.供电环境：输入电压220-240VAC，50/60Hz，整机功耗＜20W，工作环境0℃-40℃、湿度≤95%。</w:t>
            </w:r>
          </w:p>
        </w:tc>
        <w:tc>
          <w:tcPr>
            <w:tcW w:w="992" w:type="dxa"/>
            <w:noWrap w:val="0"/>
            <w:vAlign w:val="center"/>
          </w:tcPr>
          <w:p w14:paraId="00CDD144">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2</w:t>
            </w:r>
          </w:p>
        </w:tc>
        <w:tc>
          <w:tcPr>
            <w:tcW w:w="1134" w:type="dxa"/>
            <w:noWrap w:val="0"/>
            <w:vAlign w:val="center"/>
          </w:tcPr>
          <w:p w14:paraId="02CCE30E">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229A955C">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声优诺、TAIDEN、双优</w:t>
            </w:r>
          </w:p>
        </w:tc>
      </w:tr>
      <w:tr w14:paraId="4AF2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69EC65CA">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6</w:t>
            </w:r>
          </w:p>
        </w:tc>
        <w:tc>
          <w:tcPr>
            <w:tcW w:w="1477" w:type="dxa"/>
            <w:noWrap w:val="0"/>
            <w:vAlign w:val="center"/>
          </w:tcPr>
          <w:p w14:paraId="5743BE15">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32路报警器</w:t>
            </w:r>
          </w:p>
        </w:tc>
        <w:tc>
          <w:tcPr>
            <w:tcW w:w="7255" w:type="dxa"/>
            <w:noWrap w:val="0"/>
            <w:vAlign w:val="center"/>
          </w:tcPr>
          <w:p w14:paraId="01F7BF1C">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1.需支持机柜式安装，≤1U高度。</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2.≥32路网络报警输入（短路信号输入），有信号输入时，相应通道指示灯亮。</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3.≥8路网络报警输出（短路信号输出），低电平闭合信号，便于控制其它设备。</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4.设备IP地址具有复位按钮，在丢失IP地址时，可恢复初始设置。</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5.报警信号优先，自动强插，系统亦可设备自定议优先级别。</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6.配合数字网络音频系统使用，消防路数随意扩展。</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7.可根据不同地点不同警源设置相应报警铃声，使灾情清晰明朗。</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8.设备电源采用开关电源设计，AC100~240V电压都能正常工作。</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9.需支持多种网络通讯协议：ARP、UDP、TCP/IP、ICMP、IGMP。</w:t>
            </w:r>
          </w:p>
        </w:tc>
        <w:tc>
          <w:tcPr>
            <w:tcW w:w="992" w:type="dxa"/>
            <w:noWrap w:val="0"/>
            <w:vAlign w:val="center"/>
          </w:tcPr>
          <w:p w14:paraId="36B15211">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546FA8D5">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2DDDCCA7">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7B38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3F131F7F">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7</w:t>
            </w:r>
          </w:p>
        </w:tc>
        <w:tc>
          <w:tcPr>
            <w:tcW w:w="1477" w:type="dxa"/>
            <w:noWrap w:val="0"/>
            <w:vAlign w:val="center"/>
          </w:tcPr>
          <w:p w14:paraId="43809DF4">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电源时序管理器</w:t>
            </w:r>
          </w:p>
        </w:tc>
        <w:tc>
          <w:tcPr>
            <w:tcW w:w="7255" w:type="dxa"/>
            <w:noWrap w:val="0"/>
            <w:vAlign w:val="center"/>
          </w:tcPr>
          <w:p w14:paraId="75A09EE6">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1.需采用ARM32位处理器控制，使时间更精确性能更稳定。.≥8路通道总承受功率为8.8KW电源，拥有高性能RFI/EMI电源滤波器，为用户的设备提供干净而稳定的电源。</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3.需采用LCD蓝色背光显示功能设置操作界面使设备操作变得更加直观。</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4.每通道设立独立的硬件紧急关闭开关，可以通过开关紧急关闭某一路的电源输出。</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5.可设置密码功能，更好的保护系统用电安全管理。</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6.软件编辑功能，可独立调整通道开机及关机的延时时间。</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7.设备内置定时开关机功能，最长可达≥12个月的定时时间设置。</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8.设备内置中控代码生成器，方便第三方设备进行代码编辑。</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9.设备内置远程控制，让用户能随时随地的对设备进行开启关闭操作。</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10.能与同型号的电源时序器进行多台扩展及级联设置，而无需再购置其它控制器件。</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11.设备受控控制方式多样，TCP/IP、WIFI、USB，RS485，RS232联机控制加上外部（远程REMOTE）控制能控制复杂的电源系统。</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12.本设备可通过红外学习IR功能及IO控制功能对第三方设备进行控制。</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13.采用新国家标准的≥10A及≥16A通用安全划盖插座，使得用电安全更加有保障。</w:t>
            </w:r>
          </w:p>
        </w:tc>
        <w:tc>
          <w:tcPr>
            <w:tcW w:w="992" w:type="dxa"/>
            <w:noWrap w:val="0"/>
            <w:vAlign w:val="center"/>
          </w:tcPr>
          <w:p w14:paraId="6696CFFD">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6B4779B0">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1588FCD5">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24CF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3644F71D">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8</w:t>
            </w:r>
          </w:p>
        </w:tc>
        <w:tc>
          <w:tcPr>
            <w:tcW w:w="1477" w:type="dxa"/>
            <w:noWrap w:val="0"/>
            <w:vAlign w:val="center"/>
          </w:tcPr>
          <w:p w14:paraId="60D1CCBD">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网络机柜</w:t>
            </w:r>
          </w:p>
          <w:p w14:paraId="27E235C0">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（42U 标准机柜）</w:t>
            </w:r>
          </w:p>
        </w:tc>
        <w:tc>
          <w:tcPr>
            <w:tcW w:w="7255" w:type="dxa"/>
            <w:noWrap w:val="0"/>
            <w:vAlign w:val="center"/>
          </w:tcPr>
          <w:p w14:paraId="59A86F8D">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1.规格尺寸：42U标准机柜，外形尺寸 2000×600×800mm，19 英寸标准安装立柱，静态承重≥800kg。</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2.板材材质：主体采用 SPCC 冷轧钢板，承重立柱厚度≥2.0mm，门板、侧板厚度≥1.5mm。</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3.柜体结构：前门网孔通风门带三点防盗锁，后门双开网门，可拆卸侧板，支持多台机柜并柜。</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4.散热走线：顶部配置 2 台散热风扇，顶底均带阻燃毛刷走线孔，柜内配备竖向强弱电理线槽。</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5.标配配件：含2块承重托盘、成套安装螺丝、接地铜排组件、12位防雷 PDU 电源。</w:t>
            </w:r>
          </w:p>
        </w:tc>
        <w:tc>
          <w:tcPr>
            <w:tcW w:w="992" w:type="dxa"/>
            <w:noWrap w:val="0"/>
            <w:vAlign w:val="center"/>
          </w:tcPr>
          <w:p w14:paraId="52D1C333">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3C57052D">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5D8A1776">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图腾、三拓、山特</w:t>
            </w:r>
          </w:p>
        </w:tc>
      </w:tr>
      <w:tr w14:paraId="333DD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32" w:type="dxa"/>
            <w:shd w:val="clear" w:color="auto" w:fill="auto"/>
            <w:noWrap w:val="0"/>
            <w:vAlign w:val="center"/>
          </w:tcPr>
          <w:p w14:paraId="45CEB5CB">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9</w:t>
            </w:r>
          </w:p>
        </w:tc>
        <w:tc>
          <w:tcPr>
            <w:tcW w:w="1477" w:type="dxa"/>
            <w:shd w:val="clear" w:color="000000" w:fill="FFFFFF"/>
            <w:noWrap w:val="0"/>
            <w:vAlign w:val="center"/>
          </w:tcPr>
          <w:p w14:paraId="18227155">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网络机柜</w:t>
            </w:r>
          </w:p>
          <w:p w14:paraId="0F2353A8">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w:t>
            </w:r>
            <w:r>
              <w:rPr>
                <w:rFonts w:hint="eastAsia" w:ascii="Times New Roman" w:hAnsi="Times New Roman" w:eastAsia="仿宋_GB2312"/>
                <w:kern w:val="0"/>
                <w:szCs w:val="21"/>
              </w:rPr>
              <w:t>6U 壁挂机柜</w:t>
            </w:r>
            <w:r>
              <w:rPr>
                <w:rFonts w:hint="eastAsia" w:ascii="Times New Roman" w:hAnsi="Times New Roman" w:eastAsia="仿宋_GB2312"/>
                <w:color w:val="000000"/>
                <w:kern w:val="0"/>
                <w:szCs w:val="21"/>
              </w:rPr>
              <w:t>）</w:t>
            </w:r>
          </w:p>
        </w:tc>
        <w:tc>
          <w:tcPr>
            <w:tcW w:w="7255" w:type="dxa"/>
            <w:shd w:val="clear" w:color="auto" w:fill="auto"/>
            <w:noWrap w:val="0"/>
            <w:vAlign w:val="center"/>
          </w:tcPr>
          <w:p w14:paraId="1C513B42">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1.外形尺寸：6U 壁挂机柜，外形600×450×350mm，19 英寸标准安装位，壁挂承重≥120kg。</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2.材质结构：SPCC 冷轧钢板，门框立柱≥1.2mm，单开网孔前门配防盗门锁，整机接地防静电。</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3.配套配置：顶部自带散热风扇，上下带毛刷走线孔，标配安装螺丝、壁挂支架、接地套件。</w:t>
            </w:r>
          </w:p>
        </w:tc>
        <w:tc>
          <w:tcPr>
            <w:tcW w:w="992" w:type="dxa"/>
            <w:shd w:val="clear" w:color="000000" w:fill="FFFFFF"/>
            <w:noWrap w:val="0"/>
            <w:vAlign w:val="center"/>
          </w:tcPr>
          <w:p w14:paraId="73C02761">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3</w:t>
            </w:r>
          </w:p>
        </w:tc>
        <w:tc>
          <w:tcPr>
            <w:tcW w:w="1134" w:type="dxa"/>
            <w:shd w:val="clear" w:color="000000" w:fill="FFFFFF"/>
            <w:noWrap w:val="0"/>
            <w:vAlign w:val="center"/>
          </w:tcPr>
          <w:p w14:paraId="44E80396">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个</w:t>
            </w:r>
          </w:p>
        </w:tc>
        <w:tc>
          <w:tcPr>
            <w:tcW w:w="1446" w:type="dxa"/>
            <w:shd w:val="clear" w:color="000000" w:fill="FFFFFF"/>
            <w:noWrap w:val="0"/>
            <w:vAlign w:val="center"/>
          </w:tcPr>
          <w:p w14:paraId="5F6BC513">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图腾、三拓、山特</w:t>
            </w:r>
          </w:p>
        </w:tc>
      </w:tr>
      <w:tr w14:paraId="6760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shd w:val="clear" w:color="auto" w:fill="auto"/>
            <w:noWrap w:val="0"/>
            <w:vAlign w:val="center"/>
          </w:tcPr>
          <w:p w14:paraId="7D9E2E6B">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10</w:t>
            </w:r>
          </w:p>
        </w:tc>
        <w:tc>
          <w:tcPr>
            <w:tcW w:w="1477" w:type="dxa"/>
            <w:shd w:val="clear" w:color="000000" w:fill="FFFFFF"/>
            <w:noWrap w:val="0"/>
            <w:vAlign w:val="center"/>
          </w:tcPr>
          <w:p w14:paraId="654FC04C">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室外防雨机柜</w:t>
            </w:r>
          </w:p>
        </w:tc>
        <w:tc>
          <w:tcPr>
            <w:tcW w:w="7255" w:type="dxa"/>
            <w:noWrap w:val="0"/>
            <w:vAlign w:val="center"/>
          </w:tcPr>
          <w:p w14:paraId="12915AA3">
            <w:pPr>
              <w:widowControl/>
              <w:spacing w:before="94" w:beforeLines="30" w:after="94" w:afterLines="30" w:line="312" w:lineRule="auto"/>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1.外形尺寸：9U 壁挂机柜，外形600×450×500mm，19 英寸标准安装位，壁挂承重≥120kg,可壁挂/落地。</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2.材质结构：室外防雨机柜,SPCC 冷轧钢板，门框立柱≥1.2mm，单开网孔前门配防盗门锁，整机接地防静电。</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3.配套配置：两侧自带散热风扇，标配安装螺丝、壁挂支架、接地套件。</w:t>
            </w:r>
          </w:p>
        </w:tc>
        <w:tc>
          <w:tcPr>
            <w:tcW w:w="992" w:type="dxa"/>
            <w:noWrap w:val="0"/>
            <w:vAlign w:val="center"/>
          </w:tcPr>
          <w:p w14:paraId="37664244">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2</w:t>
            </w:r>
          </w:p>
        </w:tc>
        <w:tc>
          <w:tcPr>
            <w:tcW w:w="1134" w:type="dxa"/>
            <w:noWrap w:val="0"/>
            <w:vAlign w:val="center"/>
          </w:tcPr>
          <w:p w14:paraId="44452A6F">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个</w:t>
            </w:r>
          </w:p>
        </w:tc>
        <w:tc>
          <w:tcPr>
            <w:tcW w:w="1446" w:type="dxa"/>
            <w:noWrap w:val="0"/>
            <w:vAlign w:val="center"/>
          </w:tcPr>
          <w:p w14:paraId="378860D9">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国产优质</w:t>
            </w:r>
          </w:p>
        </w:tc>
      </w:tr>
      <w:tr w14:paraId="638D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14D7C18D">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11</w:t>
            </w:r>
          </w:p>
        </w:tc>
        <w:tc>
          <w:tcPr>
            <w:tcW w:w="1477" w:type="dxa"/>
            <w:noWrap w:val="0"/>
            <w:vAlign w:val="center"/>
          </w:tcPr>
          <w:p w14:paraId="0DAC38F2">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IP网络音箱</w:t>
            </w:r>
          </w:p>
        </w:tc>
        <w:tc>
          <w:tcPr>
            <w:tcW w:w="7255" w:type="dxa"/>
            <w:noWrap w:val="0"/>
            <w:vAlign w:val="center"/>
          </w:tcPr>
          <w:p w14:paraId="5B85CA51">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1.箱体需采用高品质木质材料。</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2.内置≥2×20 W功放，搭配高品质≥5.25寸全频喇叭，声音洪亮，清澈。</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3.内嵌DSP音频处理器，支持网络解码播放。</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4.需支持终端远程在线升级，方便维护。</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5.需支持挂钩设计，支持壁挂式安装方式，施工简单又安全可靠。</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 xml:space="preserve">6.需支持跨网段和跨路由，可连接广域网，支持DHCP。 </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7.需支持U盘本地播放。</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8.需支持≥1路线路输入，用于接入本地其他音源进行扩声。</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9.≥1个音量调节旋钮，用于调节本地线路输入的音量大小。</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10.需内置高灵敏度麦克风，可对周边环境进行监听。</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11.需支持网络环境自适应，当网络情况比较差的时候，可启动缓冲和丢包重传。</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12.需具有LED指示灯，实时显示终端工作状态。</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13.需带复位按钮，支持一键恢复出厂设置，方便调试。</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14.≥1路RS232接口，可用于扩展时钟显示屏。</w:t>
            </w:r>
          </w:p>
        </w:tc>
        <w:tc>
          <w:tcPr>
            <w:tcW w:w="992" w:type="dxa"/>
            <w:noWrap w:val="0"/>
            <w:vAlign w:val="center"/>
          </w:tcPr>
          <w:p w14:paraId="759F8CB3">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20A18C82">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只</w:t>
            </w:r>
          </w:p>
        </w:tc>
        <w:tc>
          <w:tcPr>
            <w:tcW w:w="1446" w:type="dxa"/>
            <w:noWrap w:val="0"/>
            <w:vAlign w:val="center"/>
          </w:tcPr>
          <w:p w14:paraId="079D2155">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25C3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7D0E112B">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12</w:t>
            </w:r>
          </w:p>
        </w:tc>
        <w:tc>
          <w:tcPr>
            <w:tcW w:w="1477" w:type="dxa"/>
            <w:noWrap w:val="0"/>
            <w:vAlign w:val="center"/>
          </w:tcPr>
          <w:p w14:paraId="21B47899">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智慧语音播控台</w:t>
            </w:r>
          </w:p>
        </w:tc>
        <w:tc>
          <w:tcPr>
            <w:tcW w:w="7255" w:type="dxa"/>
            <w:noWrap w:val="0"/>
            <w:vAlign w:val="center"/>
          </w:tcPr>
          <w:p w14:paraId="14398E14">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可与各双向终端、寻呼话筒等实现全双工双向对讲功能，也可对点、分区、全区进行广播和文件播放功能。≥7寸高清IPS液晶屏，无操作进入休眠；支持≥6路平行广播（可同时发起多个寻呼任务，每个任务可通过悬浮球的形式缩放），支持同时创建≥30路实时广播。</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3.支持屏幕UI主题风格切换，支持屏保时间设置，支持熄屏时间设置。</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4.面板配置5PIN话筒杆插座，标配50 cm可拆卸话筒杆，两节软管，内置防风罩。</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5.内置3W全频扬声器，可播放本地音频和接收远程音频信号进行本地播放，同时还可实现监听功能。</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6.具有USB接口，并支持点播或广播U盘的音频文件，将音频文件转播到指定广播终端。</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7.支持一键实现寻呼、广播任意终端功能，可对全区、分区，指定终端发起广播寻呼喊话，分区数量不限；寻呼音质好，无延时感知，终端音量可调。</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8.有监听功能，用于监听其他终端采集到的环境声音。可对分组或终端进行环境音实况监听，支持分组循环监听，灵活设置监听时间。</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9.需支持静态IP和DHCP两种网络接入方式。</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10.支持用户鉴权，包括用户名密码和 U - KEY （选配）两种方式，可满足安全播控的要求。支持4G全网通，可内置2600mAh电池，待机大于24小时，连续工作时间大于4小时，无需网络布线，且可满足移动式广播应用需求。</w:t>
            </w:r>
          </w:p>
        </w:tc>
        <w:tc>
          <w:tcPr>
            <w:tcW w:w="992" w:type="dxa"/>
            <w:noWrap w:val="0"/>
            <w:vAlign w:val="center"/>
          </w:tcPr>
          <w:p w14:paraId="1349C5AA">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45FAE371">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0BF6ED26">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7DDD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2113B071">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13</w:t>
            </w:r>
          </w:p>
        </w:tc>
        <w:tc>
          <w:tcPr>
            <w:tcW w:w="1477" w:type="dxa"/>
            <w:noWrap w:val="0"/>
            <w:vAlign w:val="center"/>
          </w:tcPr>
          <w:p w14:paraId="0CDE0340">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吸顶扬声器</w:t>
            </w:r>
          </w:p>
        </w:tc>
        <w:tc>
          <w:tcPr>
            <w:tcW w:w="7255" w:type="dxa"/>
            <w:noWrap w:val="0"/>
            <w:vAlign w:val="center"/>
          </w:tcPr>
          <w:p w14:paraId="3D499525">
            <w:pPr>
              <w:widowControl/>
              <w:spacing w:before="94" w:beforeLines="30" w:after="94" w:afterLines="30" w:line="312" w:lineRule="auto"/>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1.表面需采用ABS 材料，坚固耐用，具有耐低温、耐高温等优点。</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2.金属防尘网，有效防尘，保证音质，延长喇叭的使用寿命。</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3.天花板嵌入式安装，安装快速简便。</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4.输入电压≥100 V；额定阻抗额定阻抗(100V) ：1.7 KΩ；额定功率≥6 W；灵敏度≥91±3 dB（1M/1W）；组成：≥1×6"扬声器单元；频率响应不劣于140 Hz～20 kHz。</w:t>
            </w:r>
          </w:p>
        </w:tc>
        <w:tc>
          <w:tcPr>
            <w:tcW w:w="992" w:type="dxa"/>
            <w:noWrap w:val="0"/>
            <w:vAlign w:val="center"/>
          </w:tcPr>
          <w:p w14:paraId="7306D42D">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74</w:t>
            </w:r>
          </w:p>
        </w:tc>
        <w:tc>
          <w:tcPr>
            <w:tcW w:w="1134" w:type="dxa"/>
            <w:noWrap w:val="0"/>
            <w:vAlign w:val="center"/>
          </w:tcPr>
          <w:p w14:paraId="3C99FD4B">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只</w:t>
            </w:r>
          </w:p>
        </w:tc>
        <w:tc>
          <w:tcPr>
            <w:tcW w:w="1446" w:type="dxa"/>
            <w:noWrap w:val="0"/>
            <w:vAlign w:val="center"/>
          </w:tcPr>
          <w:p w14:paraId="7F84F714">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23B3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shd w:val="clear" w:color="auto" w:fill="auto"/>
            <w:noWrap w:val="0"/>
            <w:vAlign w:val="center"/>
          </w:tcPr>
          <w:p w14:paraId="11C21FEB">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14</w:t>
            </w:r>
          </w:p>
        </w:tc>
        <w:tc>
          <w:tcPr>
            <w:tcW w:w="1477" w:type="dxa"/>
            <w:shd w:val="clear" w:color="auto" w:fill="auto"/>
            <w:noWrap/>
            <w:vAlign w:val="center"/>
          </w:tcPr>
          <w:p w14:paraId="6EE126DC">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室外防水音柱（扬声器）</w:t>
            </w:r>
          </w:p>
        </w:tc>
        <w:tc>
          <w:tcPr>
            <w:tcW w:w="7255" w:type="dxa"/>
            <w:shd w:val="clear" w:color="000000" w:fill="FFFFFF"/>
            <w:noWrap w:val="0"/>
            <w:vAlign w:val="center"/>
          </w:tcPr>
          <w:p w14:paraId="0079519C">
            <w:pPr>
              <w:widowControl/>
              <w:numPr>
                <w:ilvl w:val="0"/>
                <w:numId w:val="0"/>
              </w:numPr>
              <w:spacing w:before="94" w:beforeLines="30" w:after="94" w:afterLines="30" w:line="312" w:lineRule="auto"/>
              <w:ind w:leftChars="0"/>
              <w:jc w:val="both"/>
              <w:rPr>
                <w:rFonts w:ascii="Times New Roman" w:hAnsi="Times New Roman" w:eastAsia="仿宋_GB2312"/>
                <w:kern w:val="0"/>
                <w:szCs w:val="21"/>
              </w:rPr>
            </w:pPr>
            <w:r>
              <w:rPr>
                <w:rFonts w:hint="eastAsia" w:ascii="Times New Roman" w:hAnsi="Times New Roman" w:eastAsia="仿宋_GB2312"/>
                <w:kern w:val="0"/>
                <w:szCs w:val="21"/>
                <w:lang w:val="en-US" w:eastAsia="zh-CN"/>
              </w:rPr>
              <w:t>1.</w:t>
            </w:r>
            <w:r>
              <w:rPr>
                <w:rFonts w:hint="eastAsia" w:ascii="Times New Roman" w:hAnsi="Times New Roman" w:eastAsia="仿宋_GB2312"/>
                <w:kern w:val="0"/>
                <w:szCs w:val="21"/>
              </w:rPr>
              <w:t>设备具备室外防护能力，防水防尘等级不低于IP</w:t>
            </w:r>
            <w:r>
              <w:rPr>
                <w:rFonts w:ascii="Times New Roman" w:hAnsi="Times New Roman" w:eastAsia="仿宋_GB2312"/>
                <w:kern w:val="0"/>
                <w:szCs w:val="21"/>
              </w:rPr>
              <w:t>55</w:t>
            </w:r>
            <w:r>
              <w:rPr>
                <w:rFonts w:hint="eastAsia" w:ascii="Times New Roman" w:hAnsi="Times New Roman" w:eastAsia="仿宋_GB2312"/>
                <w:kern w:val="0"/>
                <w:szCs w:val="21"/>
              </w:rPr>
              <w:t>，可适用户外露天使用环境。</w:t>
            </w:r>
          </w:p>
          <w:p w14:paraId="5188481D">
            <w:pPr>
              <w:pStyle w:val="2"/>
              <w:jc w:val="both"/>
              <w:rPr>
                <w:rFonts w:ascii="Times New Roman" w:hAnsi="Times New Roman" w:eastAsia="仿宋_GB2312"/>
                <w:kern w:val="0"/>
                <w:szCs w:val="21"/>
              </w:rPr>
            </w:pPr>
            <w:r>
              <w:rPr>
                <w:rFonts w:hint="eastAsia" w:ascii="Times New Roman" w:hAnsi="Times New Roman" w:eastAsia="仿宋_GB2312"/>
                <w:kern w:val="0"/>
                <w:szCs w:val="21"/>
              </w:rPr>
              <w:t>2</w:t>
            </w:r>
            <w:r>
              <w:rPr>
                <w:rFonts w:ascii="Times New Roman" w:hAnsi="Times New Roman" w:eastAsia="仿宋_GB2312"/>
                <w:kern w:val="0"/>
                <w:szCs w:val="21"/>
              </w:rPr>
              <w:t>.</w:t>
            </w:r>
            <w:r>
              <w:rPr>
                <w:rFonts w:hint="eastAsia" w:ascii="Times New Roman" w:hAnsi="Times New Roman" w:eastAsia="仿宋_GB2312"/>
                <w:kern w:val="0"/>
                <w:szCs w:val="21"/>
              </w:rPr>
              <w:t>集成低音单元不小于5寸和高音单元不小于1寸。</w:t>
            </w:r>
          </w:p>
          <w:p w14:paraId="1F228423">
            <w:pPr>
              <w:jc w:val="both"/>
              <w:rPr>
                <w:rFonts w:ascii="Times New Roman" w:hAnsi="Times New Roman" w:eastAsia="仿宋_GB2312"/>
                <w:kern w:val="0"/>
                <w:szCs w:val="21"/>
              </w:rPr>
            </w:pPr>
            <w:r>
              <w:rPr>
                <w:rFonts w:hint="eastAsia" w:ascii="Times New Roman" w:hAnsi="Times New Roman" w:eastAsia="仿宋_GB2312"/>
                <w:kern w:val="0"/>
                <w:szCs w:val="21"/>
              </w:rPr>
              <w:t>3</w:t>
            </w:r>
            <w:r>
              <w:rPr>
                <w:rFonts w:ascii="Times New Roman" w:hAnsi="Times New Roman" w:eastAsia="仿宋_GB2312"/>
                <w:kern w:val="0"/>
                <w:szCs w:val="21"/>
              </w:rPr>
              <w:t>.</w:t>
            </w:r>
            <w:r>
              <w:rPr>
                <w:rFonts w:hint="eastAsia" w:ascii="Times New Roman" w:hAnsi="Times New Roman" w:eastAsia="仿宋_GB2312"/>
                <w:kern w:val="0"/>
                <w:szCs w:val="21"/>
              </w:rPr>
              <w:t>频率响应（-</w:t>
            </w:r>
            <w:r>
              <w:rPr>
                <w:rFonts w:ascii="Times New Roman" w:hAnsi="Times New Roman" w:eastAsia="仿宋_GB2312"/>
                <w:kern w:val="0"/>
                <w:szCs w:val="21"/>
              </w:rPr>
              <w:t>10</w:t>
            </w:r>
            <w:r>
              <w:rPr>
                <w:rFonts w:hint="eastAsia" w:ascii="Times New Roman" w:hAnsi="Times New Roman" w:eastAsia="仿宋_GB2312"/>
                <w:kern w:val="0"/>
                <w:szCs w:val="21"/>
              </w:rPr>
              <w:t>d</w:t>
            </w:r>
            <w:r>
              <w:rPr>
                <w:rFonts w:ascii="Times New Roman" w:hAnsi="Times New Roman" w:eastAsia="仿宋_GB2312"/>
                <w:kern w:val="0"/>
                <w:szCs w:val="21"/>
              </w:rPr>
              <w:t>B</w:t>
            </w:r>
            <w:r>
              <w:rPr>
                <w:rFonts w:hint="eastAsia" w:ascii="Times New Roman" w:hAnsi="Times New Roman" w:eastAsia="仿宋_GB2312"/>
                <w:kern w:val="0"/>
                <w:szCs w:val="21"/>
              </w:rPr>
              <w:t>）:</w:t>
            </w:r>
            <w:r>
              <w:rPr>
                <w:rFonts w:ascii="Times New Roman" w:hAnsi="Times New Roman" w:eastAsia="仿宋_GB2312"/>
                <w:kern w:val="0"/>
                <w:szCs w:val="21"/>
              </w:rPr>
              <w:t>80HZ</w:t>
            </w:r>
            <w:r>
              <w:rPr>
                <w:rFonts w:hint="eastAsia" w:ascii="Times New Roman" w:hAnsi="Times New Roman" w:eastAsia="仿宋_GB2312"/>
                <w:kern w:val="0"/>
                <w:szCs w:val="21"/>
              </w:rPr>
              <w:t>~</w:t>
            </w:r>
            <w:r>
              <w:rPr>
                <w:rFonts w:ascii="Times New Roman" w:hAnsi="Times New Roman" w:eastAsia="仿宋_GB2312"/>
                <w:kern w:val="0"/>
                <w:szCs w:val="21"/>
              </w:rPr>
              <w:t>18KHZ,</w:t>
            </w:r>
            <w:r>
              <w:rPr>
                <w:rFonts w:hint="eastAsia" w:ascii="Times New Roman" w:hAnsi="Times New Roman" w:eastAsia="仿宋_GB2312"/>
                <w:kern w:val="0"/>
                <w:szCs w:val="21"/>
              </w:rPr>
              <w:t>额定功率≥2</w:t>
            </w:r>
            <w:r>
              <w:rPr>
                <w:rFonts w:ascii="Times New Roman" w:hAnsi="Times New Roman" w:eastAsia="仿宋_GB2312"/>
                <w:kern w:val="0"/>
                <w:szCs w:val="21"/>
              </w:rPr>
              <w:t>5W</w:t>
            </w:r>
            <w:r>
              <w:rPr>
                <w:rFonts w:hint="eastAsia" w:ascii="Times New Roman" w:hAnsi="Times New Roman" w:eastAsia="仿宋_GB2312"/>
                <w:kern w:val="0"/>
                <w:szCs w:val="21"/>
              </w:rPr>
              <w:t>@</w:t>
            </w:r>
            <w:r>
              <w:rPr>
                <w:rFonts w:ascii="Times New Roman" w:hAnsi="Times New Roman" w:eastAsia="仿宋_GB2312"/>
                <w:kern w:val="0"/>
                <w:szCs w:val="21"/>
              </w:rPr>
              <w:t>100V,</w:t>
            </w:r>
            <w:r>
              <w:rPr>
                <w:rFonts w:hint="eastAsia" w:ascii="Times New Roman" w:hAnsi="Times New Roman" w:eastAsia="仿宋_GB2312"/>
                <w:kern w:val="0"/>
                <w:szCs w:val="21"/>
              </w:rPr>
              <w:t>声压级（1</w:t>
            </w:r>
            <w:r>
              <w:rPr>
                <w:rFonts w:ascii="Times New Roman" w:hAnsi="Times New Roman" w:eastAsia="仿宋_GB2312"/>
                <w:kern w:val="0"/>
                <w:szCs w:val="21"/>
              </w:rPr>
              <w:t>W/1</w:t>
            </w:r>
            <w:r>
              <w:rPr>
                <w:rFonts w:hint="eastAsia" w:ascii="Times New Roman" w:hAnsi="Times New Roman" w:eastAsia="仿宋_GB2312"/>
                <w:kern w:val="0"/>
                <w:szCs w:val="21"/>
              </w:rPr>
              <w:t>m）≥8</w:t>
            </w:r>
            <w:r>
              <w:rPr>
                <w:rFonts w:ascii="Times New Roman" w:hAnsi="Times New Roman" w:eastAsia="仿宋_GB2312"/>
                <w:kern w:val="0"/>
                <w:szCs w:val="21"/>
              </w:rPr>
              <w:t>9</w:t>
            </w:r>
            <w:r>
              <w:rPr>
                <w:rFonts w:hint="eastAsia" w:ascii="Times New Roman" w:hAnsi="Times New Roman" w:eastAsia="仿宋_GB2312"/>
                <w:kern w:val="0"/>
                <w:szCs w:val="21"/>
              </w:rPr>
              <w:t xml:space="preserve"> d</w:t>
            </w:r>
            <w:r>
              <w:rPr>
                <w:rFonts w:ascii="Times New Roman" w:hAnsi="Times New Roman" w:eastAsia="仿宋_GB2312"/>
                <w:kern w:val="0"/>
                <w:szCs w:val="21"/>
              </w:rPr>
              <w:t>B,</w:t>
            </w:r>
            <w:r>
              <w:rPr>
                <w:rFonts w:hint="eastAsia" w:ascii="Times New Roman" w:hAnsi="Times New Roman" w:eastAsia="仿宋_GB2312"/>
                <w:kern w:val="0"/>
                <w:szCs w:val="21"/>
              </w:rPr>
              <w:t>运行温度-</w:t>
            </w:r>
            <w:r>
              <w:rPr>
                <w:rFonts w:ascii="Times New Roman" w:hAnsi="Times New Roman" w:eastAsia="仿宋_GB2312"/>
                <w:kern w:val="0"/>
                <w:szCs w:val="21"/>
              </w:rPr>
              <w:t>20</w:t>
            </w:r>
            <w:r>
              <w:rPr>
                <w:rFonts w:hint="eastAsia" w:ascii="Times New Roman" w:hAnsi="Times New Roman" w:eastAsia="仿宋_GB2312"/>
                <w:kern w:val="0"/>
                <w:szCs w:val="21"/>
              </w:rPr>
              <w:t>℃～</w:t>
            </w:r>
            <w:r>
              <w:rPr>
                <w:rFonts w:ascii="Times New Roman" w:hAnsi="Times New Roman" w:eastAsia="仿宋_GB2312"/>
                <w:kern w:val="0"/>
                <w:szCs w:val="21"/>
              </w:rPr>
              <w:t>55</w:t>
            </w:r>
            <w:r>
              <w:rPr>
                <w:rFonts w:hint="eastAsia" w:ascii="Times New Roman" w:hAnsi="Times New Roman" w:eastAsia="仿宋_GB2312"/>
                <w:kern w:val="0"/>
                <w:szCs w:val="21"/>
              </w:rPr>
              <w:t>℃、湿度</w:t>
            </w:r>
            <w:r>
              <w:rPr>
                <w:rFonts w:ascii="Times New Roman" w:hAnsi="Times New Roman" w:eastAsia="仿宋_GB2312"/>
                <w:kern w:val="0"/>
                <w:szCs w:val="21"/>
              </w:rPr>
              <w:t>&lt;</w:t>
            </w:r>
            <w:r>
              <w:rPr>
                <w:rFonts w:hint="eastAsia" w:ascii="Times New Roman" w:hAnsi="Times New Roman" w:eastAsia="仿宋_GB2312"/>
                <w:kern w:val="0"/>
                <w:szCs w:val="21"/>
              </w:rPr>
              <w:t>95%。</w:t>
            </w:r>
          </w:p>
          <w:p w14:paraId="3AF360B0">
            <w:pPr>
              <w:pStyle w:val="2"/>
              <w:jc w:val="both"/>
              <w:rPr>
                <w:rFonts w:hint="eastAsia" w:ascii="Times New Roman" w:hAnsi="Times New Roman"/>
              </w:rPr>
            </w:pPr>
            <w:r>
              <w:rPr>
                <w:rFonts w:hint="eastAsia" w:ascii="Times New Roman" w:hAnsi="Times New Roman" w:eastAsia="仿宋_GB2312"/>
                <w:kern w:val="0"/>
                <w:szCs w:val="21"/>
              </w:rPr>
              <w:t>4</w:t>
            </w:r>
            <w:r>
              <w:rPr>
                <w:rFonts w:ascii="Times New Roman" w:hAnsi="Times New Roman" w:eastAsia="仿宋_GB2312"/>
                <w:kern w:val="0"/>
                <w:szCs w:val="21"/>
              </w:rPr>
              <w:t>.</w:t>
            </w:r>
            <w:r>
              <w:rPr>
                <w:rFonts w:hint="eastAsia" w:ascii="Times New Roman" w:hAnsi="Times New Roman" w:eastAsia="仿宋_GB2312"/>
                <w:kern w:val="0"/>
                <w:szCs w:val="21"/>
              </w:rPr>
              <w:t>安装方式：埋地</w:t>
            </w:r>
          </w:p>
        </w:tc>
        <w:tc>
          <w:tcPr>
            <w:tcW w:w="992" w:type="dxa"/>
            <w:noWrap w:val="0"/>
            <w:vAlign w:val="center"/>
          </w:tcPr>
          <w:p w14:paraId="0F6255BA">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6</w:t>
            </w:r>
          </w:p>
        </w:tc>
        <w:tc>
          <w:tcPr>
            <w:tcW w:w="1134" w:type="dxa"/>
            <w:noWrap w:val="0"/>
            <w:vAlign w:val="center"/>
          </w:tcPr>
          <w:p w14:paraId="35BEEEF5">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只</w:t>
            </w:r>
          </w:p>
        </w:tc>
        <w:tc>
          <w:tcPr>
            <w:tcW w:w="1446" w:type="dxa"/>
            <w:noWrap w:val="0"/>
            <w:vAlign w:val="center"/>
          </w:tcPr>
          <w:p w14:paraId="13664E4F">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231E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shd w:val="clear" w:color="auto" w:fill="auto"/>
            <w:noWrap w:val="0"/>
            <w:vAlign w:val="center"/>
          </w:tcPr>
          <w:p w14:paraId="7CB967EB">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15</w:t>
            </w:r>
          </w:p>
        </w:tc>
        <w:tc>
          <w:tcPr>
            <w:tcW w:w="1477" w:type="dxa"/>
            <w:shd w:val="clear" w:color="000000" w:fill="FFFFFF"/>
            <w:noWrap w:val="0"/>
            <w:vAlign w:val="center"/>
          </w:tcPr>
          <w:p w14:paraId="69ED8E50">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无线话筒</w:t>
            </w:r>
          </w:p>
        </w:tc>
        <w:tc>
          <w:tcPr>
            <w:tcW w:w="7255" w:type="dxa"/>
            <w:shd w:val="clear" w:color="auto" w:fill="auto"/>
            <w:noWrap w:val="0"/>
            <w:vAlign w:val="center"/>
          </w:tcPr>
          <w:p w14:paraId="565CF294">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1.真分集接收机，双通道独立选讯系统，能最大限度降低断频的发生。</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2.双通道独立AFS频率自动搜索功能,能迅速扫描所在工作环境中干忧最少的频率并锁定。</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3.接收机与发射机通过IR红外对频技术，一键同步对码。</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4.专业演出级别的相位锁定电路,配合杂讯锁定静噪控制与数码导频技术, 当发射器关闭时，导频控制将AF信号静音以抑制噪声，同时将对应的接收机静音。保证了对干忧信号的有效阻隔。</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5.背光式LED显示屏指示了RF和AF信号强度，电池状态，分集通道指示(A/B)频率，频率组/频道等工作状态。</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6.采用“音频参考压缩扩展”专利技术.有着极好的动态响应.音质极佳。</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7.射频传输频率范围：740~790MHz。</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8.工作范围： 在典型条件下≥100米，室外直线距离时≥150米；在高功率模式下≥150米，室外直线距离≥300米。实际工作范围取决于射频信号吸收、反射和干扰。</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9.音频频率响应：40</w:t>
            </w:r>
            <w:r>
              <w:rPr>
                <w:rFonts w:hint="eastAsia" w:ascii="Times New Roman" w:hAnsi="Times New Roman" w:eastAsia="微软雅黑"/>
                <w:kern w:val="0"/>
                <w:szCs w:val="21"/>
              </w:rPr>
              <w:t>–</w:t>
            </w:r>
            <w:r>
              <w:rPr>
                <w:rFonts w:hint="eastAsia" w:ascii="Times New Roman" w:hAnsi="Times New Roman" w:eastAsia="仿宋_GB2312"/>
                <w:kern w:val="0"/>
                <w:szCs w:val="21"/>
              </w:rPr>
              <w:t xml:space="preserve"> 18,000 Hz,(+1 dB, </w:t>
            </w:r>
            <w:r>
              <w:rPr>
                <w:rFonts w:hint="eastAsia" w:ascii="Times New Roman" w:hAnsi="Times New Roman" w:eastAsia="微软雅黑"/>
                <w:kern w:val="0"/>
                <w:szCs w:val="21"/>
              </w:rPr>
              <w:t>–</w:t>
            </w:r>
            <w:r>
              <w:rPr>
                <w:rFonts w:hint="eastAsia" w:ascii="Times New Roman" w:hAnsi="Times New Roman" w:eastAsia="仿宋_GB2312"/>
                <w:kern w:val="0"/>
                <w:szCs w:val="21"/>
              </w:rPr>
              <w:t>3 dB)。</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10.50MHz带宽内有≥200个可选频率；工作频率：740~790MHz；采用微电脑CPU控制；PLL锁相环频率合成技术；≥2*100频道自由选择,液晶数字显示；红外对频。</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11.S/N信噪比:&gt;105dB；T.H.D失真:&lt;0.5%；频率响应:40Hz-18KHz。</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12.杂讯锁定静噪控制+音码导航锁定静噪控制。</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13.音频动态扩展及自动电平控制电路。</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14.真分集接收</w:t>
            </w:r>
            <w:r>
              <w:rPr>
                <w:rFonts w:hint="eastAsia" w:ascii="Times New Roman" w:hAnsi="Times New Roman" w:eastAsia="仿宋_GB2312"/>
                <w:kern w:val="0"/>
                <w:szCs w:val="21"/>
                <w:lang w:eastAsia="zh-CN"/>
              </w:rPr>
              <w:t>（</w:t>
            </w:r>
            <w:r>
              <w:rPr>
                <w:rFonts w:hint="eastAsia" w:ascii="Times New Roman" w:hAnsi="Times New Roman" w:eastAsia="仿宋_GB2312"/>
                <w:kern w:val="0"/>
                <w:szCs w:val="21"/>
              </w:rPr>
              <w:t>双调谐高频接收选讯</w:t>
            </w:r>
            <w:r>
              <w:rPr>
                <w:rFonts w:hint="eastAsia" w:ascii="Times New Roman" w:hAnsi="Times New Roman" w:eastAsia="仿宋_GB2312"/>
                <w:kern w:val="0"/>
                <w:szCs w:val="21"/>
                <w:lang w:eastAsia="zh-CN"/>
              </w:rPr>
              <w:t>）</w:t>
            </w:r>
            <w:r>
              <w:rPr>
                <w:rFonts w:hint="eastAsia" w:ascii="Times New Roman" w:hAnsi="Times New Roman" w:eastAsia="仿宋_GB2312"/>
                <w:kern w:val="0"/>
                <w:szCs w:val="21"/>
              </w:rPr>
              <w:t>。</w:t>
            </w:r>
          </w:p>
        </w:tc>
        <w:tc>
          <w:tcPr>
            <w:tcW w:w="992" w:type="dxa"/>
            <w:shd w:val="clear" w:color="000000" w:fill="FFFFFF"/>
            <w:noWrap w:val="0"/>
            <w:vAlign w:val="center"/>
          </w:tcPr>
          <w:p w14:paraId="3498F3E2">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3</w:t>
            </w:r>
          </w:p>
        </w:tc>
        <w:tc>
          <w:tcPr>
            <w:tcW w:w="1134" w:type="dxa"/>
            <w:shd w:val="clear" w:color="000000" w:fill="FFFFFF"/>
            <w:noWrap w:val="0"/>
            <w:vAlign w:val="center"/>
          </w:tcPr>
          <w:p w14:paraId="666E091C">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shd w:val="clear" w:color="000000" w:fill="FFFFFF"/>
            <w:noWrap w:val="0"/>
            <w:vAlign w:val="center"/>
          </w:tcPr>
          <w:p w14:paraId="711C8EA1">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声优诺、TAIDEN、双优</w:t>
            </w:r>
          </w:p>
        </w:tc>
      </w:tr>
      <w:tr w14:paraId="0F26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shd w:val="clear" w:color="auto" w:fill="auto"/>
            <w:noWrap w:val="0"/>
            <w:vAlign w:val="center"/>
          </w:tcPr>
          <w:p w14:paraId="1CE51B9E">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16</w:t>
            </w:r>
          </w:p>
        </w:tc>
        <w:tc>
          <w:tcPr>
            <w:tcW w:w="1477" w:type="dxa"/>
            <w:shd w:val="clear" w:color="000000" w:fill="FFFFFF"/>
            <w:noWrap w:val="0"/>
            <w:vAlign w:val="center"/>
          </w:tcPr>
          <w:p w14:paraId="09D6E5FF">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天线放大器</w:t>
            </w:r>
          </w:p>
        </w:tc>
        <w:tc>
          <w:tcPr>
            <w:tcW w:w="7255" w:type="dxa"/>
            <w:shd w:val="clear" w:color="auto" w:fill="auto"/>
            <w:noWrap w:val="0"/>
            <w:vAlign w:val="center"/>
          </w:tcPr>
          <w:p w14:paraId="62699C5D">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1.一台天线分配器可提供≥4台接收机的分配连接。</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2.300MHz宽频带设计，适合多种无线系统使用。</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3.需配套指向性天线使用，提高系统接收信号的稳定性。</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4.对工程机柜式安装的无线系统，供电部份合理应用。</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5.频率响应: 600 - 900 MHz；最大增益: 0dB, +3dB - +10dB；阻抗: 50 ohms；安装插头: TNC；幻像电源: +8V DC 20mA；工作温度: -20℃～+50℃。</w:t>
            </w:r>
          </w:p>
        </w:tc>
        <w:tc>
          <w:tcPr>
            <w:tcW w:w="992" w:type="dxa"/>
            <w:shd w:val="clear" w:color="000000" w:fill="FFFFFF"/>
            <w:noWrap w:val="0"/>
            <w:vAlign w:val="center"/>
          </w:tcPr>
          <w:p w14:paraId="41F4EE1D">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3</w:t>
            </w:r>
          </w:p>
        </w:tc>
        <w:tc>
          <w:tcPr>
            <w:tcW w:w="1134" w:type="dxa"/>
            <w:shd w:val="clear" w:color="000000" w:fill="FFFFFF"/>
            <w:noWrap w:val="0"/>
            <w:vAlign w:val="center"/>
          </w:tcPr>
          <w:p w14:paraId="580460B5">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只</w:t>
            </w:r>
          </w:p>
        </w:tc>
        <w:tc>
          <w:tcPr>
            <w:tcW w:w="1446" w:type="dxa"/>
            <w:shd w:val="clear" w:color="000000" w:fill="FFFFFF"/>
            <w:noWrap w:val="0"/>
            <w:vAlign w:val="center"/>
          </w:tcPr>
          <w:p w14:paraId="2F3179B1">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声优诺、TAIDEN、双优</w:t>
            </w:r>
          </w:p>
        </w:tc>
      </w:tr>
    </w:tbl>
    <w:p w14:paraId="1FF9EDB0"/>
    <w:p w14:paraId="781DA2D5">
      <w:pPr>
        <w:autoSpaceDE w:val="0"/>
        <w:autoSpaceDN w:val="0"/>
        <w:adjustRightInd w:val="0"/>
        <w:spacing w:after="315" w:afterLines="100"/>
        <w:jc w:val="center"/>
        <w:outlineLvl w:val="0"/>
        <w:rPr>
          <w:rFonts w:hint="eastAsia" w:ascii="黑体" w:hAnsi="黑体" w:eastAsia="黑体" w:cs="黑体"/>
          <w:sz w:val="44"/>
          <w:szCs w:val="44"/>
          <w:lang w:val="zh-CN"/>
        </w:rPr>
        <w:sectPr>
          <w:footerReference r:id="rId5" w:type="default"/>
          <w:footerReference r:id="rId6" w:type="even"/>
          <w:pgSz w:w="16838" w:h="11906" w:orient="landscape"/>
          <w:pgMar w:top="1587" w:right="2098" w:bottom="1134" w:left="1985" w:header="851" w:footer="992" w:gutter="0"/>
          <w:pgNumType w:chapSep="emDash"/>
          <w:cols w:space="720" w:num="1"/>
          <w:docGrid w:type="lines" w:linePitch="315" w:charSpace="0"/>
        </w:sectPr>
      </w:pPr>
    </w:p>
    <w:p w14:paraId="2DA67729">
      <w:pPr>
        <w:autoSpaceDE w:val="0"/>
        <w:autoSpaceDN w:val="0"/>
        <w:adjustRightInd w:val="0"/>
        <w:spacing w:after="312" w:afterLines="100"/>
        <w:jc w:val="center"/>
        <w:outlineLvl w:val="0"/>
        <w:rPr>
          <w:rFonts w:hint="eastAsia" w:ascii="黑体" w:hAnsi="黑体" w:eastAsia="黑体" w:cs="黑体"/>
          <w:sz w:val="44"/>
          <w:szCs w:val="44"/>
        </w:rPr>
      </w:pPr>
      <w:r>
        <w:rPr>
          <w:rFonts w:hint="eastAsia" w:ascii="黑体" w:hAnsi="黑体" w:eastAsia="黑体" w:cs="黑体"/>
          <w:sz w:val="44"/>
          <w:szCs w:val="44"/>
          <w:lang w:val="zh-CN"/>
        </w:rPr>
        <w:t>报价人</w:t>
      </w:r>
      <w:r>
        <w:rPr>
          <w:rFonts w:hint="eastAsia" w:ascii="黑体" w:hAnsi="黑体" w:eastAsia="黑体" w:cs="黑体"/>
          <w:sz w:val="44"/>
          <w:szCs w:val="44"/>
        </w:rPr>
        <w:t>须知</w:t>
      </w:r>
    </w:p>
    <w:p w14:paraId="6AA0012B">
      <w:pPr>
        <w:pStyle w:val="5"/>
        <w:spacing w:line="560" w:lineRule="exact"/>
        <w:rPr>
          <w:rFonts w:hint="eastAsia" w:ascii="楷体" w:hAnsi="楷体" w:eastAsia="楷体" w:cs="楷体"/>
          <w:bCs/>
          <w:sz w:val="28"/>
          <w:szCs w:val="28"/>
        </w:rPr>
      </w:pPr>
      <w:r>
        <w:rPr>
          <w:rFonts w:hint="eastAsia" w:ascii="楷体" w:hAnsi="楷体" w:eastAsia="楷体" w:cs="楷体"/>
          <w:bCs/>
          <w:sz w:val="28"/>
          <w:szCs w:val="28"/>
        </w:rPr>
        <w:t>报价书构成</w:t>
      </w:r>
    </w:p>
    <w:p w14:paraId="3F7CB807">
      <w:pPr>
        <w:pStyle w:val="5"/>
        <w:spacing w:line="560" w:lineRule="exact"/>
        <w:rPr>
          <w:rFonts w:hint="eastAsia" w:ascii="楷体" w:hAnsi="楷体" w:eastAsia="楷体" w:cs="楷体"/>
          <w:sz w:val="28"/>
          <w:szCs w:val="28"/>
        </w:rPr>
      </w:pPr>
      <w:r>
        <w:rPr>
          <w:rFonts w:hint="eastAsia" w:ascii="楷体" w:hAnsi="楷体" w:eastAsia="楷体" w:cs="楷体"/>
          <w:sz w:val="28"/>
          <w:szCs w:val="28"/>
        </w:rPr>
        <w:t>（一）报价表（附件1）</w:t>
      </w:r>
    </w:p>
    <w:p w14:paraId="34BE425B">
      <w:pPr>
        <w:pStyle w:val="5"/>
        <w:spacing w:line="560" w:lineRule="exact"/>
        <w:rPr>
          <w:rFonts w:hint="eastAsia" w:ascii="楷体" w:hAnsi="楷体" w:eastAsia="楷体" w:cs="楷体"/>
          <w:sz w:val="28"/>
          <w:szCs w:val="28"/>
        </w:rPr>
      </w:pPr>
      <w:r>
        <w:rPr>
          <w:rFonts w:hint="eastAsia" w:ascii="楷体" w:hAnsi="楷体" w:eastAsia="楷体" w:cs="楷体"/>
          <w:sz w:val="28"/>
          <w:szCs w:val="28"/>
        </w:rPr>
        <w:t>（二）相关资格证明文件</w:t>
      </w:r>
      <w:r>
        <w:rPr>
          <w:rFonts w:hint="eastAsia" w:ascii="楷体" w:hAnsi="楷体" w:eastAsia="楷体" w:cs="楷体"/>
          <w:color w:val="000000"/>
          <w:sz w:val="28"/>
          <w:szCs w:val="28"/>
        </w:rPr>
        <w:t>（除必须要求原件外，其他资料原件和复印件均可）</w:t>
      </w:r>
    </w:p>
    <w:p w14:paraId="07D5B8C3">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1.营业执照（复印件加盖公章）</w:t>
      </w:r>
    </w:p>
    <w:p w14:paraId="1F355714">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2.法定代表人资格证明书（附件2）</w:t>
      </w:r>
    </w:p>
    <w:p w14:paraId="1B94AC2C">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3.法定代表人授权书（附件3）</w:t>
      </w:r>
    </w:p>
    <w:p w14:paraId="57A3CAF9">
      <w:pPr>
        <w:pStyle w:val="5"/>
        <w:spacing w:line="560" w:lineRule="exact"/>
        <w:rPr>
          <w:rFonts w:hint="eastAsia" w:ascii="楷体" w:hAnsi="楷体" w:eastAsia="楷体" w:cs="楷体"/>
          <w:sz w:val="28"/>
          <w:szCs w:val="28"/>
        </w:rPr>
      </w:pPr>
      <w:r>
        <w:rPr>
          <w:rFonts w:hint="eastAsia" w:ascii="楷体" w:hAnsi="楷体" w:eastAsia="楷体" w:cs="楷体"/>
          <w:sz w:val="28"/>
          <w:szCs w:val="28"/>
        </w:rPr>
        <w:t>（三）供应商承诺声明（附件4）</w:t>
      </w:r>
    </w:p>
    <w:p w14:paraId="060CAAA3">
      <w:pPr>
        <w:pStyle w:val="8"/>
        <w:tabs>
          <w:tab w:val="left" w:pos="1875"/>
        </w:tabs>
        <w:ind w:firstLine="0" w:firstLineChars="0"/>
        <w:rPr>
          <w:rFonts w:hint="eastAsia" w:ascii="楷体" w:hAnsi="楷体" w:eastAsia="楷体" w:cs="楷体"/>
          <w:color w:val="000000"/>
          <w:sz w:val="28"/>
          <w:szCs w:val="28"/>
        </w:rPr>
      </w:pPr>
      <w:r>
        <w:rPr>
          <w:rFonts w:hint="eastAsia" w:ascii="楷体" w:hAnsi="楷体" w:eastAsia="楷体" w:cs="楷体"/>
          <w:color w:val="000000"/>
          <w:sz w:val="28"/>
          <w:szCs w:val="28"/>
        </w:rPr>
        <w:t>（四）响应偏离表</w:t>
      </w:r>
      <w:r>
        <w:rPr>
          <w:rFonts w:hint="eastAsia" w:ascii="楷体" w:hAnsi="楷体" w:eastAsia="楷体" w:cs="楷体"/>
          <w:sz w:val="28"/>
          <w:szCs w:val="28"/>
        </w:rPr>
        <w:t>（附件5）</w:t>
      </w:r>
    </w:p>
    <w:p w14:paraId="5EEBF0D1">
      <w:pPr>
        <w:spacing w:line="560" w:lineRule="exact"/>
        <w:rPr>
          <w:rFonts w:hint="eastAsia" w:ascii="楷体" w:hAnsi="楷体" w:eastAsia="楷体" w:cs="楷体"/>
          <w:color w:val="000000"/>
          <w:sz w:val="28"/>
          <w:szCs w:val="28"/>
          <w:lang w:bidi="ar"/>
        </w:rPr>
      </w:pPr>
    </w:p>
    <w:p w14:paraId="42A41042">
      <w:pPr>
        <w:spacing w:line="560" w:lineRule="exact"/>
        <w:rPr>
          <w:rFonts w:hint="eastAsia" w:ascii="楷体" w:hAnsi="楷体" w:eastAsia="楷体" w:cs="楷体"/>
          <w:color w:val="000000"/>
          <w:sz w:val="28"/>
          <w:szCs w:val="28"/>
        </w:rPr>
      </w:pPr>
      <w:r>
        <w:rPr>
          <w:rFonts w:hint="eastAsia" w:ascii="楷体" w:hAnsi="楷体" w:eastAsia="楷体" w:cs="楷体"/>
          <w:color w:val="000000"/>
          <w:sz w:val="28"/>
          <w:szCs w:val="28"/>
          <w:lang w:bidi="ar"/>
        </w:rPr>
        <w:t>说明：</w:t>
      </w:r>
    </w:p>
    <w:p w14:paraId="2FCBA46A">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lang w:bidi="ar"/>
        </w:rPr>
        <w:t>未密封或者在规定时间内未送达我单位的一律拒绝收取。提交材料至少包含以上资料，缺少一项其报价作无效处理，所有资料需加盖供应商公章、完善相关签名并密封，未盖公章视为无效报价。</w:t>
      </w:r>
    </w:p>
    <w:p w14:paraId="09FA9D42">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lang w:bidi="ar"/>
        </w:rPr>
        <w:t>报价人须按上述统一格式及顺序向采购人提供《报价书》，否则可能被视为无效报价。</w:t>
      </w:r>
    </w:p>
    <w:p w14:paraId="1D04D794">
      <w:pPr>
        <w:pStyle w:val="8"/>
        <w:tabs>
          <w:tab w:val="left" w:pos="1875"/>
        </w:tabs>
        <w:ind w:left="0" w:leftChars="0" w:firstLine="560"/>
        <w:rPr>
          <w:rFonts w:hint="eastAsia" w:ascii="仿宋_GB2312" w:hAnsi="微软雅黑" w:eastAsia="仿宋_GB2312"/>
          <w:sz w:val="28"/>
          <w:szCs w:val="28"/>
        </w:rPr>
      </w:pPr>
      <w:r>
        <w:rPr>
          <w:rFonts w:hint="eastAsia" w:ascii="楷体" w:hAnsi="楷体" w:eastAsia="楷体" w:cs="楷体"/>
          <w:color w:val="000000"/>
          <w:sz w:val="28"/>
          <w:szCs w:val="28"/>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r>
        <w:rPr>
          <w:rFonts w:eastAsia="黑体"/>
          <w:sz w:val="28"/>
          <w:szCs w:val="28"/>
        </w:rPr>
        <w:br w:type="page"/>
      </w:r>
      <w:r>
        <w:rPr>
          <w:rFonts w:ascii="仿宋_GB2312" w:hAnsi="微软雅黑" w:eastAsia="仿宋_GB2312"/>
          <w:sz w:val="28"/>
          <w:szCs w:val="28"/>
        </w:rPr>
        <w:t>附件</w:t>
      </w:r>
      <w:r>
        <w:rPr>
          <w:rFonts w:hint="eastAsia" w:ascii="仿宋_GB2312" w:hAnsi="微软雅黑" w:eastAsia="仿宋_GB2312"/>
          <w:sz w:val="28"/>
          <w:szCs w:val="28"/>
        </w:rPr>
        <w:t>1</w:t>
      </w:r>
    </w:p>
    <w:tbl>
      <w:tblPr>
        <w:tblStyle w:val="9"/>
        <w:tblW w:w="0" w:type="auto"/>
        <w:jc w:val="center"/>
        <w:tblLayout w:type="fixed"/>
        <w:tblCellMar>
          <w:top w:w="0" w:type="dxa"/>
          <w:left w:w="108" w:type="dxa"/>
          <w:bottom w:w="0" w:type="dxa"/>
          <w:right w:w="108" w:type="dxa"/>
        </w:tblCellMar>
      </w:tblPr>
      <w:tblGrid>
        <w:gridCol w:w="2050"/>
        <w:gridCol w:w="2710"/>
        <w:gridCol w:w="2292"/>
        <w:gridCol w:w="1908"/>
      </w:tblGrid>
      <w:tr w14:paraId="19006E21">
        <w:tblPrEx>
          <w:tblCellMar>
            <w:top w:w="0" w:type="dxa"/>
            <w:left w:w="108" w:type="dxa"/>
            <w:bottom w:w="0" w:type="dxa"/>
            <w:right w:w="108" w:type="dxa"/>
          </w:tblCellMar>
        </w:tblPrEx>
        <w:trPr>
          <w:trHeight w:val="936" w:hRule="atLeast"/>
          <w:jc w:val="center"/>
        </w:trPr>
        <w:tc>
          <w:tcPr>
            <w:tcW w:w="8960" w:type="dxa"/>
            <w:gridSpan w:val="4"/>
            <w:vMerge w:val="restart"/>
            <w:tcBorders>
              <w:top w:val="nil"/>
              <w:left w:val="nil"/>
              <w:bottom w:val="double" w:color="000000" w:sz="2" w:space="0"/>
              <w:right w:val="nil"/>
            </w:tcBorders>
            <w:noWrap w:val="0"/>
            <w:vAlign w:val="center"/>
          </w:tcPr>
          <w:p w14:paraId="46AA7045">
            <w:pPr>
              <w:widowControl/>
              <w:jc w:val="center"/>
              <w:rPr>
                <w:rFonts w:hint="eastAsia" w:ascii="黑体" w:hAnsi="黑体" w:eastAsia="黑体" w:cs="黑体"/>
                <w:color w:val="000000"/>
                <w:sz w:val="44"/>
                <w:szCs w:val="44"/>
              </w:rPr>
            </w:pPr>
            <w:r>
              <w:rPr>
                <w:rFonts w:hint="eastAsia" w:ascii="黑体" w:hAnsi="黑体" w:eastAsia="黑体" w:cs="黑体"/>
                <w:color w:val="000000"/>
                <w:sz w:val="44"/>
                <w:szCs w:val="44"/>
              </w:rPr>
              <w:t>报价表</w:t>
            </w:r>
          </w:p>
        </w:tc>
      </w:tr>
      <w:tr w14:paraId="4F2F42D0">
        <w:tblPrEx>
          <w:tblCellMar>
            <w:top w:w="0" w:type="dxa"/>
            <w:left w:w="108" w:type="dxa"/>
            <w:bottom w:w="0" w:type="dxa"/>
            <w:right w:w="108" w:type="dxa"/>
          </w:tblCellMar>
        </w:tblPrEx>
        <w:trPr>
          <w:trHeight w:val="936" w:hRule="atLeast"/>
          <w:jc w:val="center"/>
        </w:trPr>
        <w:tc>
          <w:tcPr>
            <w:tcW w:w="8960" w:type="dxa"/>
            <w:gridSpan w:val="4"/>
            <w:vMerge w:val="continue"/>
            <w:tcBorders>
              <w:top w:val="nil"/>
              <w:left w:val="nil"/>
              <w:bottom w:val="double" w:color="auto" w:sz="2" w:space="0"/>
              <w:right w:val="nil"/>
            </w:tcBorders>
            <w:noWrap w:val="0"/>
            <w:vAlign w:val="center"/>
          </w:tcPr>
          <w:p w14:paraId="682E954C">
            <w:pPr>
              <w:widowControl/>
              <w:jc w:val="left"/>
              <w:rPr>
                <w:rFonts w:ascii="方正小标宋简体" w:hAnsi="宋体" w:eastAsia="方正小标宋简体" w:cs="宋体"/>
                <w:color w:val="000000"/>
                <w:sz w:val="44"/>
                <w:szCs w:val="44"/>
              </w:rPr>
            </w:pPr>
          </w:p>
        </w:tc>
      </w:tr>
      <w:tr w14:paraId="1EF96267">
        <w:tblPrEx>
          <w:tblCellMar>
            <w:top w:w="0" w:type="dxa"/>
            <w:left w:w="108" w:type="dxa"/>
            <w:bottom w:w="0" w:type="dxa"/>
            <w:right w:w="108" w:type="dxa"/>
          </w:tblCellMar>
        </w:tblPrEx>
        <w:trPr>
          <w:trHeight w:val="765" w:hRule="atLeast"/>
          <w:jc w:val="center"/>
        </w:trPr>
        <w:tc>
          <w:tcPr>
            <w:tcW w:w="2050" w:type="dxa"/>
            <w:tcBorders>
              <w:top w:val="double" w:color="auto" w:sz="2" w:space="0"/>
              <w:left w:val="double" w:color="auto" w:sz="2" w:space="0"/>
              <w:bottom w:val="double" w:color="auto" w:sz="2" w:space="0"/>
              <w:right w:val="single" w:color="auto" w:sz="4" w:space="0"/>
            </w:tcBorders>
            <w:noWrap w:val="0"/>
            <w:vAlign w:val="center"/>
          </w:tcPr>
          <w:p w14:paraId="3F665217">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项目名称</w:t>
            </w:r>
          </w:p>
        </w:tc>
        <w:tc>
          <w:tcPr>
            <w:tcW w:w="5002" w:type="dxa"/>
            <w:gridSpan w:val="2"/>
            <w:tcBorders>
              <w:top w:val="double" w:color="auto" w:sz="2" w:space="0"/>
              <w:left w:val="nil"/>
              <w:bottom w:val="double" w:color="auto" w:sz="2" w:space="0"/>
              <w:right w:val="single" w:color="auto" w:sz="4" w:space="0"/>
            </w:tcBorders>
            <w:noWrap w:val="0"/>
            <w:vAlign w:val="center"/>
          </w:tcPr>
          <w:p w14:paraId="0E567F49">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产品（服务）明细</w:t>
            </w:r>
          </w:p>
        </w:tc>
        <w:tc>
          <w:tcPr>
            <w:tcW w:w="1908" w:type="dxa"/>
            <w:tcBorders>
              <w:top w:val="double" w:color="auto" w:sz="2" w:space="0"/>
              <w:left w:val="nil"/>
              <w:bottom w:val="double" w:color="auto" w:sz="2" w:space="0"/>
              <w:right w:val="double" w:color="auto" w:sz="2" w:space="0"/>
            </w:tcBorders>
            <w:noWrap w:val="0"/>
            <w:vAlign w:val="center"/>
          </w:tcPr>
          <w:p w14:paraId="697C1813">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w:t>
            </w:r>
          </w:p>
        </w:tc>
      </w:tr>
      <w:tr w14:paraId="3EBCBDD1">
        <w:tblPrEx>
          <w:tblCellMar>
            <w:top w:w="0" w:type="dxa"/>
            <w:left w:w="108" w:type="dxa"/>
            <w:bottom w:w="0" w:type="dxa"/>
            <w:right w:w="108" w:type="dxa"/>
          </w:tblCellMar>
        </w:tblPrEx>
        <w:trPr>
          <w:trHeight w:val="2952" w:hRule="atLeast"/>
          <w:jc w:val="center"/>
        </w:trPr>
        <w:tc>
          <w:tcPr>
            <w:tcW w:w="2050" w:type="dxa"/>
            <w:tcBorders>
              <w:top w:val="double" w:color="auto" w:sz="2" w:space="0"/>
              <w:left w:val="double" w:color="auto" w:sz="2" w:space="0"/>
              <w:bottom w:val="single" w:color="auto" w:sz="4" w:space="0"/>
              <w:right w:val="single" w:color="auto" w:sz="4" w:space="0"/>
            </w:tcBorders>
            <w:noWrap w:val="0"/>
            <w:vAlign w:val="center"/>
          </w:tcPr>
          <w:p w14:paraId="2780698D">
            <w:pPr>
              <w:widowControl/>
              <w:shd w:val="clear" w:color="auto" w:fill="FFFFFF"/>
              <w:spacing w:line="555" w:lineRule="atLeast"/>
              <w:jc w:val="center"/>
              <w:rPr>
                <w:rFonts w:hint="eastAsia" w:ascii="黑体" w:hAnsi="黑体" w:eastAsia="黑体" w:cs="宋体"/>
                <w:color w:val="000000"/>
                <w:sz w:val="30"/>
                <w:szCs w:val="30"/>
              </w:rPr>
            </w:pPr>
            <w:r>
              <w:rPr>
                <w:rFonts w:hint="eastAsia" w:ascii="黑体" w:hAnsi="黑体" w:eastAsia="黑体" w:cs="宋体"/>
                <w:color w:val="000000"/>
                <w:sz w:val="30"/>
                <w:szCs w:val="30"/>
              </w:rPr>
              <w:t>某单位</w:t>
            </w:r>
          </w:p>
          <w:p w14:paraId="688B7D77">
            <w:pPr>
              <w:widowControl/>
              <w:shd w:val="clear" w:color="auto" w:fill="FFFFFF"/>
              <w:spacing w:line="555" w:lineRule="atLeast"/>
              <w:jc w:val="center"/>
              <w:rPr>
                <w:rFonts w:hint="eastAsia" w:ascii="黑体" w:hAnsi="黑体" w:eastAsia="黑体"/>
                <w:sz w:val="28"/>
                <w:szCs w:val="28"/>
              </w:rPr>
            </w:pPr>
            <w:r>
              <w:rPr>
                <w:rFonts w:hint="eastAsia" w:ascii="黑体" w:hAnsi="黑体" w:eastAsia="黑体" w:cs="宋体"/>
                <w:color w:val="000000"/>
                <w:sz w:val="30"/>
                <w:szCs w:val="30"/>
              </w:rPr>
              <w:t>广播系统</w:t>
            </w:r>
          </w:p>
        </w:tc>
        <w:tc>
          <w:tcPr>
            <w:tcW w:w="5002" w:type="dxa"/>
            <w:gridSpan w:val="2"/>
            <w:tcBorders>
              <w:top w:val="double" w:color="auto" w:sz="2" w:space="0"/>
              <w:left w:val="nil"/>
              <w:bottom w:val="single" w:color="auto" w:sz="4" w:space="0"/>
              <w:right w:val="single" w:color="auto" w:sz="4" w:space="0"/>
            </w:tcBorders>
            <w:noWrap w:val="0"/>
            <w:vAlign w:val="center"/>
          </w:tcPr>
          <w:p w14:paraId="705AC059">
            <w:pPr>
              <w:pStyle w:val="7"/>
              <w:spacing w:before="0" w:beforeAutospacing="0" w:after="0" w:afterAutospacing="0" w:line="440" w:lineRule="exact"/>
              <w:ind w:firstLine="300" w:firstLineChars="100"/>
              <w:jc w:val="both"/>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2"/>
                <w:sz w:val="30"/>
                <w:szCs w:val="30"/>
              </w:rPr>
              <w:t>本公司承诺完全响应本项目所有要求。</w:t>
            </w:r>
          </w:p>
        </w:tc>
        <w:tc>
          <w:tcPr>
            <w:tcW w:w="1908" w:type="dxa"/>
            <w:tcBorders>
              <w:top w:val="double" w:color="auto" w:sz="2" w:space="0"/>
              <w:left w:val="nil"/>
              <w:bottom w:val="single" w:color="auto" w:sz="4" w:space="0"/>
              <w:right w:val="double" w:color="auto" w:sz="2" w:space="0"/>
            </w:tcBorders>
            <w:noWrap w:val="0"/>
            <w:vAlign w:val="center"/>
          </w:tcPr>
          <w:p w14:paraId="28FEC366">
            <w:pPr>
              <w:jc w:val="left"/>
              <w:rPr>
                <w:rFonts w:ascii="仿宋_GB2312" w:hAnsi="仿宋_GB2312" w:eastAsia="仿宋_GB2312" w:cs="仿宋_GB2312"/>
                <w:color w:val="000000"/>
                <w:sz w:val="30"/>
                <w:szCs w:val="30"/>
              </w:rPr>
            </w:pPr>
          </w:p>
        </w:tc>
      </w:tr>
      <w:tr w14:paraId="65A3FBDB">
        <w:tblPrEx>
          <w:tblCellMar>
            <w:top w:w="0" w:type="dxa"/>
            <w:left w:w="108" w:type="dxa"/>
            <w:bottom w:w="0" w:type="dxa"/>
            <w:right w:w="108" w:type="dxa"/>
          </w:tblCellMar>
        </w:tblPrEx>
        <w:trPr>
          <w:trHeight w:val="561"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6E3A5FBA">
            <w:pPr>
              <w:widowControl/>
              <w:jc w:val="center"/>
              <w:rPr>
                <w:rFonts w:ascii="黑体" w:hAnsi="黑体" w:eastAsia="黑体" w:cs="宋体"/>
                <w:color w:val="000000"/>
                <w:sz w:val="30"/>
                <w:szCs w:val="30"/>
              </w:rPr>
            </w:pPr>
            <w:r>
              <w:rPr>
                <w:rFonts w:hint="eastAsia" w:ascii="黑体" w:hAnsi="黑体" w:eastAsia="黑体" w:cs="宋体"/>
                <w:color w:val="000000"/>
                <w:sz w:val="30"/>
                <w:szCs w:val="30"/>
              </w:rPr>
              <w:t>报价时间</w:t>
            </w:r>
          </w:p>
        </w:tc>
        <w:tc>
          <w:tcPr>
            <w:tcW w:w="6910" w:type="dxa"/>
            <w:gridSpan w:val="3"/>
            <w:tcBorders>
              <w:top w:val="single" w:color="auto" w:sz="4" w:space="0"/>
              <w:left w:val="nil"/>
              <w:bottom w:val="single" w:color="auto" w:sz="4" w:space="0"/>
              <w:right w:val="double" w:color="auto" w:sz="2" w:space="0"/>
            </w:tcBorders>
            <w:noWrap w:val="0"/>
            <w:vAlign w:val="center"/>
          </w:tcPr>
          <w:p w14:paraId="75FACF20">
            <w:pPr>
              <w:widowControl/>
              <w:jc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2026年  月  日    时  分</w:t>
            </w:r>
          </w:p>
        </w:tc>
      </w:tr>
      <w:tr w14:paraId="24862277">
        <w:tblPrEx>
          <w:tblCellMar>
            <w:top w:w="0" w:type="dxa"/>
            <w:left w:w="108" w:type="dxa"/>
            <w:bottom w:w="0" w:type="dxa"/>
            <w:right w:w="108" w:type="dxa"/>
          </w:tblCellMar>
        </w:tblPrEx>
        <w:trPr>
          <w:trHeight w:val="675"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243D45DA">
            <w:pPr>
              <w:widowControl/>
              <w:jc w:val="center"/>
              <w:rPr>
                <w:rFonts w:ascii="黑体" w:hAnsi="黑体" w:eastAsia="黑体" w:cs="宋体"/>
                <w:color w:val="000000"/>
                <w:sz w:val="30"/>
                <w:szCs w:val="30"/>
              </w:rPr>
            </w:pPr>
            <w:r>
              <w:rPr>
                <w:rFonts w:hint="eastAsia" w:ascii="黑体" w:hAnsi="黑体" w:eastAsia="黑体" w:cs="宋体"/>
                <w:color w:val="000000"/>
                <w:sz w:val="30"/>
                <w:szCs w:val="30"/>
              </w:rPr>
              <w:t>报价地点</w:t>
            </w:r>
          </w:p>
        </w:tc>
        <w:tc>
          <w:tcPr>
            <w:tcW w:w="6910" w:type="dxa"/>
            <w:gridSpan w:val="3"/>
            <w:tcBorders>
              <w:top w:val="single" w:color="auto" w:sz="4" w:space="0"/>
              <w:left w:val="nil"/>
              <w:bottom w:val="single" w:color="auto" w:sz="4" w:space="0"/>
              <w:right w:val="double" w:color="auto" w:sz="2" w:space="0"/>
            </w:tcBorders>
            <w:noWrap w:val="0"/>
            <w:vAlign w:val="center"/>
          </w:tcPr>
          <w:p w14:paraId="4494CE0C">
            <w:pPr>
              <w:widowControl/>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以采购方通知为准</w:t>
            </w:r>
          </w:p>
        </w:tc>
      </w:tr>
      <w:tr w14:paraId="13759A29">
        <w:tblPrEx>
          <w:tblCellMar>
            <w:top w:w="0" w:type="dxa"/>
            <w:left w:w="108" w:type="dxa"/>
            <w:bottom w:w="0" w:type="dxa"/>
            <w:right w:w="108" w:type="dxa"/>
          </w:tblCellMar>
        </w:tblPrEx>
        <w:trPr>
          <w:trHeight w:val="585"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4A81C604">
            <w:pPr>
              <w:widowControl/>
              <w:jc w:val="center"/>
              <w:rPr>
                <w:rFonts w:ascii="黑体" w:hAnsi="黑体" w:eastAsia="黑体" w:cs="宋体"/>
                <w:color w:val="000000"/>
                <w:sz w:val="30"/>
                <w:szCs w:val="30"/>
              </w:rPr>
            </w:pPr>
            <w:r>
              <w:rPr>
                <w:rFonts w:hint="eastAsia" w:ascii="黑体" w:hAnsi="黑体" w:eastAsia="黑体" w:cs="宋体"/>
                <w:color w:val="000000"/>
                <w:sz w:val="30"/>
                <w:szCs w:val="30"/>
              </w:rPr>
              <w:t>报价方式</w:t>
            </w:r>
          </w:p>
        </w:tc>
        <w:tc>
          <w:tcPr>
            <w:tcW w:w="6910" w:type="dxa"/>
            <w:gridSpan w:val="3"/>
            <w:tcBorders>
              <w:top w:val="single" w:color="auto" w:sz="4" w:space="0"/>
              <w:left w:val="nil"/>
              <w:bottom w:val="single" w:color="auto" w:sz="4" w:space="0"/>
              <w:right w:val="double" w:color="auto" w:sz="2" w:space="0"/>
            </w:tcBorders>
            <w:noWrap w:val="0"/>
            <w:vAlign w:val="center"/>
          </w:tcPr>
          <w:p w14:paraId="25FFBA5C">
            <w:pPr>
              <w:widowControl/>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邮寄/现场递交</w:t>
            </w:r>
          </w:p>
        </w:tc>
      </w:tr>
      <w:tr w14:paraId="0B0F9074">
        <w:tblPrEx>
          <w:tblCellMar>
            <w:top w:w="0" w:type="dxa"/>
            <w:left w:w="108" w:type="dxa"/>
            <w:bottom w:w="0" w:type="dxa"/>
            <w:right w:w="108" w:type="dxa"/>
          </w:tblCellMar>
        </w:tblPrEx>
        <w:trPr>
          <w:trHeight w:val="624" w:hRule="atLeast"/>
          <w:jc w:val="center"/>
        </w:trPr>
        <w:tc>
          <w:tcPr>
            <w:tcW w:w="2050" w:type="dxa"/>
            <w:vMerge w:val="restart"/>
            <w:tcBorders>
              <w:top w:val="nil"/>
              <w:left w:val="double" w:color="auto" w:sz="2" w:space="0"/>
              <w:bottom w:val="single" w:color="auto" w:sz="4" w:space="0"/>
              <w:right w:val="single" w:color="auto" w:sz="4" w:space="0"/>
            </w:tcBorders>
            <w:noWrap w:val="0"/>
            <w:vAlign w:val="center"/>
          </w:tcPr>
          <w:p w14:paraId="2AFD46E1">
            <w:pPr>
              <w:widowControl/>
              <w:jc w:val="center"/>
              <w:rPr>
                <w:rFonts w:ascii="黑体" w:hAnsi="黑体" w:eastAsia="黑体" w:cs="宋体"/>
                <w:color w:val="000000"/>
                <w:sz w:val="30"/>
                <w:szCs w:val="30"/>
              </w:rPr>
            </w:pPr>
            <w:r>
              <w:rPr>
                <w:rFonts w:hint="eastAsia" w:ascii="黑体" w:hAnsi="黑体" w:eastAsia="黑体" w:cs="宋体"/>
                <w:color w:val="000000"/>
                <w:sz w:val="30"/>
                <w:szCs w:val="30"/>
              </w:rPr>
              <w:t>报价人</w:t>
            </w:r>
          </w:p>
        </w:tc>
        <w:tc>
          <w:tcPr>
            <w:tcW w:w="2710" w:type="dxa"/>
            <w:vMerge w:val="restart"/>
            <w:tcBorders>
              <w:top w:val="nil"/>
              <w:left w:val="nil"/>
              <w:bottom w:val="single" w:color="auto" w:sz="4" w:space="0"/>
              <w:right w:val="single" w:color="auto" w:sz="4" w:space="0"/>
            </w:tcBorders>
            <w:noWrap w:val="0"/>
            <w:vAlign w:val="center"/>
          </w:tcPr>
          <w:p w14:paraId="27B5578A">
            <w:pPr>
              <w:widowControl/>
              <w:rPr>
                <w:rFonts w:hint="eastAsia" w:ascii="仿宋_GB2312" w:hAnsi="宋体" w:eastAsia="仿宋_GB2312" w:cs="宋体"/>
                <w:color w:val="000000"/>
                <w:sz w:val="32"/>
                <w:szCs w:val="32"/>
              </w:rPr>
            </w:pPr>
          </w:p>
        </w:tc>
        <w:tc>
          <w:tcPr>
            <w:tcW w:w="4200" w:type="dxa"/>
            <w:gridSpan w:val="2"/>
            <w:vMerge w:val="restart"/>
            <w:tcBorders>
              <w:top w:val="single" w:color="auto" w:sz="4" w:space="0"/>
              <w:left w:val="nil"/>
              <w:bottom w:val="single" w:color="auto" w:sz="4" w:space="0"/>
              <w:right w:val="double" w:color="auto" w:sz="2" w:space="0"/>
            </w:tcBorders>
            <w:noWrap w:val="0"/>
            <w:vAlign w:val="center"/>
          </w:tcPr>
          <w:p w14:paraId="44A9BA49">
            <w:pPr>
              <w:widowControl/>
              <w:rPr>
                <w:rFonts w:ascii="宋体" w:hAnsi="宋体"/>
                <w:color w:val="000000"/>
                <w:sz w:val="36"/>
                <w:szCs w:val="36"/>
              </w:rPr>
            </w:pPr>
            <w:r>
              <w:rPr>
                <w:rFonts w:hint="eastAsia" w:ascii="黑体" w:hAnsi="黑体" w:eastAsia="黑体" w:cs="宋体"/>
                <w:color w:val="000000"/>
                <w:sz w:val="32"/>
                <w:szCs w:val="32"/>
              </w:rPr>
              <w:t>联系电话：</w:t>
            </w:r>
          </w:p>
        </w:tc>
      </w:tr>
      <w:tr w14:paraId="378011E5">
        <w:tblPrEx>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noWrap w:val="0"/>
            <w:vAlign w:val="center"/>
          </w:tcPr>
          <w:p w14:paraId="714D5244">
            <w:pPr>
              <w:widowControl/>
              <w:jc w:val="left"/>
              <w:rPr>
                <w:rFonts w:ascii="黑体" w:hAnsi="黑体" w:eastAsia="黑体" w:cs="宋体"/>
                <w:color w:val="000000"/>
                <w:sz w:val="30"/>
                <w:szCs w:val="30"/>
              </w:rPr>
            </w:pPr>
          </w:p>
        </w:tc>
        <w:tc>
          <w:tcPr>
            <w:tcW w:w="2710" w:type="dxa"/>
            <w:vMerge w:val="continue"/>
            <w:tcBorders>
              <w:top w:val="nil"/>
              <w:left w:val="nil"/>
              <w:bottom w:val="single" w:color="auto" w:sz="4" w:space="0"/>
              <w:right w:val="single" w:color="auto" w:sz="4" w:space="0"/>
            </w:tcBorders>
            <w:noWrap w:val="0"/>
            <w:vAlign w:val="center"/>
          </w:tcPr>
          <w:p w14:paraId="07071C1B">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noWrap w:val="0"/>
            <w:vAlign w:val="center"/>
          </w:tcPr>
          <w:p w14:paraId="24E012D1">
            <w:pPr>
              <w:widowControl/>
              <w:jc w:val="left"/>
              <w:rPr>
                <w:rFonts w:ascii="宋体" w:hAnsi="宋体"/>
                <w:color w:val="000000"/>
                <w:sz w:val="36"/>
                <w:szCs w:val="36"/>
              </w:rPr>
            </w:pPr>
          </w:p>
        </w:tc>
      </w:tr>
      <w:tr w14:paraId="41C82A16">
        <w:tblPrEx>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noWrap w:val="0"/>
            <w:vAlign w:val="center"/>
          </w:tcPr>
          <w:p w14:paraId="0F7878D9">
            <w:pPr>
              <w:widowControl/>
              <w:jc w:val="left"/>
              <w:rPr>
                <w:rFonts w:ascii="黑体" w:hAnsi="黑体" w:eastAsia="黑体" w:cs="宋体"/>
                <w:color w:val="000000"/>
                <w:sz w:val="30"/>
                <w:szCs w:val="30"/>
              </w:rPr>
            </w:pPr>
          </w:p>
        </w:tc>
        <w:tc>
          <w:tcPr>
            <w:tcW w:w="2710" w:type="dxa"/>
            <w:vMerge w:val="continue"/>
            <w:tcBorders>
              <w:top w:val="nil"/>
              <w:left w:val="nil"/>
              <w:bottom w:val="single" w:color="auto" w:sz="4" w:space="0"/>
              <w:right w:val="single" w:color="auto" w:sz="4" w:space="0"/>
            </w:tcBorders>
            <w:noWrap w:val="0"/>
            <w:vAlign w:val="center"/>
          </w:tcPr>
          <w:p w14:paraId="04DA8D11">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noWrap w:val="0"/>
            <w:vAlign w:val="center"/>
          </w:tcPr>
          <w:p w14:paraId="4E960C30">
            <w:pPr>
              <w:widowControl/>
              <w:jc w:val="left"/>
              <w:rPr>
                <w:rFonts w:ascii="宋体" w:hAnsi="宋体"/>
                <w:color w:val="000000"/>
                <w:sz w:val="36"/>
                <w:szCs w:val="36"/>
              </w:rPr>
            </w:pPr>
          </w:p>
        </w:tc>
      </w:tr>
      <w:tr w14:paraId="6CCE42F7">
        <w:tblPrEx>
          <w:tblCellMar>
            <w:top w:w="0" w:type="dxa"/>
            <w:left w:w="108" w:type="dxa"/>
            <w:bottom w:w="0" w:type="dxa"/>
            <w:right w:w="108" w:type="dxa"/>
          </w:tblCellMar>
        </w:tblPrEx>
        <w:trPr>
          <w:trHeight w:val="1498" w:hRule="atLeast"/>
          <w:jc w:val="center"/>
        </w:trPr>
        <w:tc>
          <w:tcPr>
            <w:tcW w:w="2050" w:type="dxa"/>
            <w:tcBorders>
              <w:top w:val="single" w:color="auto" w:sz="4" w:space="0"/>
              <w:left w:val="double" w:color="auto" w:sz="2" w:space="0"/>
              <w:bottom w:val="double" w:color="auto" w:sz="2" w:space="0"/>
              <w:right w:val="single" w:color="auto" w:sz="4" w:space="0"/>
            </w:tcBorders>
            <w:noWrap w:val="0"/>
            <w:vAlign w:val="center"/>
          </w:tcPr>
          <w:p w14:paraId="7176D04E">
            <w:pPr>
              <w:widowControl/>
              <w:jc w:val="center"/>
              <w:rPr>
                <w:rFonts w:ascii="黑体" w:hAnsi="黑体" w:eastAsia="黑体" w:cs="宋体"/>
                <w:color w:val="000000"/>
                <w:sz w:val="30"/>
                <w:szCs w:val="30"/>
              </w:rPr>
            </w:pPr>
            <w:r>
              <w:rPr>
                <w:rFonts w:hint="eastAsia" w:ascii="黑体" w:hAnsi="黑体" w:eastAsia="黑体" w:cs="宋体"/>
                <w:color w:val="000000"/>
                <w:sz w:val="30"/>
                <w:szCs w:val="30"/>
              </w:rPr>
              <w:t>报价单位</w:t>
            </w:r>
          </w:p>
        </w:tc>
        <w:tc>
          <w:tcPr>
            <w:tcW w:w="6910" w:type="dxa"/>
            <w:gridSpan w:val="3"/>
            <w:tcBorders>
              <w:top w:val="single" w:color="auto" w:sz="4" w:space="0"/>
              <w:left w:val="nil"/>
              <w:bottom w:val="double" w:color="auto" w:sz="2" w:space="0"/>
              <w:right w:val="double" w:color="auto" w:sz="2" w:space="0"/>
            </w:tcBorders>
            <w:noWrap w:val="0"/>
            <w:vAlign w:val="center"/>
          </w:tcPr>
          <w:p w14:paraId="07DC7D27">
            <w:pPr>
              <w:widowControl/>
              <w:jc w:val="left"/>
              <w:rPr>
                <w:rFonts w:ascii="楷体_GB2312" w:hAnsi="宋体" w:eastAsia="楷体_GB2312" w:cs="宋体"/>
                <w:color w:val="000000"/>
                <w:sz w:val="32"/>
                <w:szCs w:val="32"/>
              </w:rPr>
            </w:pPr>
            <w:r>
              <w:rPr>
                <w:rFonts w:hint="eastAsia" w:ascii="楷体_GB2312" w:hAnsi="宋体" w:eastAsia="楷体_GB2312" w:cs="宋体"/>
                <w:color w:val="000000"/>
                <w:sz w:val="32"/>
                <w:szCs w:val="32"/>
              </w:rPr>
              <w:t xml:space="preserve">                              （盖章）</w:t>
            </w:r>
          </w:p>
        </w:tc>
      </w:tr>
    </w:tbl>
    <w:p w14:paraId="7B178B9E">
      <w:pPr>
        <w:pStyle w:val="8"/>
        <w:tabs>
          <w:tab w:val="left" w:pos="1875"/>
        </w:tabs>
        <w:ind w:left="0" w:leftChars="0" w:firstLine="0" w:firstLineChars="0"/>
        <w:rPr>
          <w:rFonts w:ascii="仿宋_GB2312" w:hAnsi="微软雅黑" w:eastAsia="仿宋_GB2312"/>
          <w:sz w:val="28"/>
          <w:szCs w:val="28"/>
        </w:rPr>
      </w:pPr>
      <w:r>
        <w:rPr>
          <w:rFonts w:hint="eastAsia" w:ascii="微软雅黑" w:hAnsi="微软雅黑" w:eastAsia="微软雅黑"/>
          <w:sz w:val="28"/>
          <w:szCs w:val="28"/>
        </w:rPr>
        <w:t>注：未完全响应的，按无效报价处理。若有正偏离，可在</w:t>
      </w:r>
      <w:r>
        <w:rPr>
          <w:rFonts w:hint="eastAsia" w:ascii="黑体" w:hAnsi="黑体" w:eastAsia="黑体" w:cs="宋体"/>
          <w:color w:val="000000"/>
          <w:sz w:val="32"/>
          <w:szCs w:val="32"/>
        </w:rPr>
        <w:t>明细栏</w:t>
      </w:r>
      <w:r>
        <w:rPr>
          <w:rFonts w:hint="eastAsia" w:ascii="微软雅黑" w:hAnsi="微软雅黑" w:eastAsia="微软雅黑"/>
          <w:sz w:val="28"/>
          <w:szCs w:val="28"/>
        </w:rPr>
        <w:t>注明。</w:t>
      </w:r>
      <w:r>
        <w:rPr>
          <w:rFonts w:ascii="微软雅黑" w:hAnsi="微软雅黑" w:eastAsia="微软雅黑"/>
          <w:sz w:val="28"/>
          <w:szCs w:val="28"/>
        </w:rPr>
        <w:br w:type="page"/>
      </w:r>
      <w:r>
        <w:rPr>
          <w:rFonts w:hint="eastAsia" w:ascii="仿宋_GB2312" w:hAnsi="微软雅黑" w:eastAsia="仿宋_GB2312"/>
          <w:sz w:val="28"/>
          <w:szCs w:val="28"/>
        </w:rPr>
        <w:t>附件2</w:t>
      </w:r>
    </w:p>
    <w:p w14:paraId="678F0678">
      <w:pPr>
        <w:jc w:val="center"/>
        <w:rPr>
          <w:rFonts w:hint="eastAsia" w:ascii="黑体" w:hAnsi="黑体" w:eastAsia="黑体" w:cs="黑体"/>
          <w:bCs/>
          <w:sz w:val="44"/>
          <w:szCs w:val="44"/>
        </w:rPr>
      </w:pPr>
      <w:r>
        <w:rPr>
          <w:rFonts w:hint="eastAsia" w:ascii="黑体" w:hAnsi="黑体" w:eastAsia="黑体" w:cs="黑体"/>
          <w:bCs/>
          <w:sz w:val="44"/>
          <w:szCs w:val="44"/>
        </w:rPr>
        <w:t>法定代表人资格证明书</w:t>
      </w:r>
    </w:p>
    <w:p w14:paraId="145AD4A8">
      <w:pPr>
        <w:jc w:val="center"/>
        <w:rPr>
          <w:rFonts w:hint="eastAsia" w:eastAsia="华文中宋"/>
          <w:bCs/>
          <w:sz w:val="44"/>
        </w:rPr>
      </w:pPr>
    </w:p>
    <w:p w14:paraId="72A8B59B">
      <w:pPr>
        <w:ind w:firstLine="560" w:firstLineChars="200"/>
        <w:rPr>
          <w:rFonts w:eastAsia="楷体_GB2312"/>
          <w:sz w:val="28"/>
          <w:szCs w:val="28"/>
        </w:rPr>
      </w:pPr>
    </w:p>
    <w:p w14:paraId="433577B8">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u w:val="single"/>
        </w:rPr>
        <w:t>（法定代表人姓名）</w:t>
      </w:r>
      <w:r>
        <w:rPr>
          <w:rFonts w:hint="eastAsia" w:ascii="仿宋_GB2312" w:hAnsi="微软雅黑" w:eastAsia="仿宋_GB2312"/>
          <w:sz w:val="28"/>
          <w:szCs w:val="28"/>
        </w:rPr>
        <w:t>系</w:t>
      </w:r>
      <w:r>
        <w:rPr>
          <w:rFonts w:hint="eastAsia" w:ascii="仿宋_GB2312" w:hAnsi="微软雅黑" w:eastAsia="仿宋_GB2312"/>
          <w:sz w:val="28"/>
          <w:szCs w:val="28"/>
          <w:u w:val="single"/>
        </w:rPr>
        <w:t>（报价方全称）</w:t>
      </w:r>
      <w:r>
        <w:rPr>
          <w:rFonts w:hint="eastAsia" w:ascii="仿宋_GB2312" w:hAnsi="微软雅黑" w:eastAsia="仿宋_GB2312"/>
          <w:sz w:val="28"/>
          <w:szCs w:val="28"/>
        </w:rPr>
        <w:t>的法定代表人。</w:t>
      </w:r>
    </w:p>
    <w:p w14:paraId="616359C4">
      <w:pPr>
        <w:ind w:firstLine="560" w:firstLineChars="200"/>
        <w:rPr>
          <w:rFonts w:hint="eastAsia" w:ascii="仿宋_GB2312" w:hAnsi="微软雅黑" w:eastAsia="仿宋_GB2312"/>
          <w:sz w:val="28"/>
          <w:szCs w:val="28"/>
        </w:rPr>
      </w:pPr>
    </w:p>
    <w:p w14:paraId="22017CD3">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rPr>
        <w:t>特此证明</w:t>
      </w:r>
    </w:p>
    <w:p w14:paraId="72477B63">
      <w:pPr>
        <w:pStyle w:val="8"/>
        <w:rPr>
          <w:rFonts w:hint="eastAsia" w:ascii="仿宋_GB2312" w:eastAsia="仿宋_GB2312"/>
        </w:rPr>
      </w:pPr>
    </w:p>
    <w:p w14:paraId="26904F89">
      <w:pPr>
        <w:pStyle w:val="8"/>
        <w:rPr>
          <w:rFonts w:hint="eastAsia" w:ascii="仿宋_GB2312" w:eastAsia="仿宋_GB2312"/>
        </w:rPr>
      </w:pPr>
    </w:p>
    <w:p w14:paraId="0FD17506">
      <w:pPr>
        <w:ind w:firstLine="420" w:firstLineChars="200"/>
        <w:rPr>
          <w:rFonts w:hint="eastAsia" w:ascii="仿宋_GB2312" w:eastAsia="仿宋_GB2312"/>
          <w:sz w:val="28"/>
          <w:szCs w:val="28"/>
        </w:rPr>
      </w:pPr>
      <w:r>
        <w:rPr>
          <w:rFonts w:hint="eastAsia" w:ascii="仿宋_GB2312" w:hAnsi="宋体" w:eastAsia="仿宋_GB2312" w:cs="宋体"/>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4445" t="4445" r="15240" b="12700"/>
                <wp:wrapNone/>
                <wp:docPr id="1" name="文本框 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5323725C">
                            <w:pPr>
                              <w:jc w:val="center"/>
                              <w:rPr>
                                <w:rFonts w:ascii="宋体"/>
                              </w:rPr>
                            </w:pPr>
                          </w:p>
                          <w:p w14:paraId="72355E90">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139EA059">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8.3pt;margin-top:7.75pt;height:88.65pt;width:176.45pt;z-index:251659264;v-text-anchor:middle;mso-width-relative:page;mso-height-relative:page;" coordsize="21600,21600" o:gfxdata="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FerUytUAAAAJAQAADwAA&#10;AAAAAAABACAAAAAiAAAAZHJzL2Rvd25yZXYueG1sUEsBAhQAFAAAAAgAh07iQJcOWrcZAgAAUQQA&#10;AA4AAAAAAAAAAQAgAAAAJAEAAGRycy9lMm9Eb2MueG1sUEsFBgAAAAAGAAYAWQEAAK8FAAAAAA==&#10;">
                <v:path/>
                <v:fill focussize="0,0"/>
                <v:stroke dashstyle="dash"/>
                <v:imagedata o:title=""/>
                <o:lock v:ext="edit"/>
                <v:textbox>
                  <w:txbxContent>
                    <w:p w14:paraId="5323725C">
                      <w:pPr>
                        <w:jc w:val="center"/>
                        <w:rPr>
                          <w:rFonts w:ascii="宋体"/>
                        </w:rPr>
                      </w:pPr>
                    </w:p>
                    <w:p w14:paraId="72355E90">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139EA059">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v:textbox>
              </v:shape>
            </w:pict>
          </mc:Fallback>
        </mc:AlternateContent>
      </w:r>
      <w:r>
        <w:rPr>
          <w:rFonts w:hint="eastAsia" w:ascii="仿宋_GB2312" w:hAnsi="宋体" w:eastAsia="仿宋_GB2312" w:cs="宋体"/>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4445" t="4445" r="15240" b="12700"/>
                <wp:wrapNone/>
                <wp:docPr id="2" name="文本框 2"/>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2A25EE23">
                            <w:pPr>
                              <w:jc w:val="center"/>
                              <w:rPr>
                                <w:rFonts w:ascii="宋体"/>
                              </w:rPr>
                            </w:pPr>
                          </w:p>
                          <w:p w14:paraId="19382567">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046E4904">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33.05pt;margin-top:7.1pt;height:88.65pt;width:176.45pt;z-index:251660288;v-text-anchor:middle;mso-width-relative:page;mso-height-relative:page;" coordsize="21600,21600" o:gfxdata="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It+oTVAAAACgEAAA8A&#10;AAAAAAAAAQAgAAAAIgAAAGRycy9kb3ducmV2LnhtbFBLAQIUABQAAAAIAIdO4kBYHno7GgIAAFEE&#10;AAAOAAAAAAAAAAEAIAAAACQBAABkcnMvZTJvRG9jLnhtbFBLBQYAAAAABgAGAFkBAACwBQAAAAA=&#10;">
                <v:path/>
                <v:fill focussize="0,0"/>
                <v:stroke dashstyle="dash"/>
                <v:imagedata o:title=""/>
                <o:lock v:ext="edit"/>
                <v:textbox>
                  <w:txbxContent>
                    <w:p w14:paraId="2A25EE23">
                      <w:pPr>
                        <w:jc w:val="center"/>
                        <w:rPr>
                          <w:rFonts w:ascii="宋体"/>
                        </w:rPr>
                      </w:pPr>
                    </w:p>
                    <w:p w14:paraId="19382567">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046E4904">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v:textbox>
              </v:shape>
            </w:pict>
          </mc:Fallback>
        </mc:AlternateContent>
      </w:r>
    </w:p>
    <w:p w14:paraId="75EDC244">
      <w:pPr>
        <w:ind w:firstLine="560" w:firstLineChars="200"/>
        <w:rPr>
          <w:rFonts w:hint="eastAsia" w:ascii="仿宋_GB2312" w:eastAsia="仿宋_GB2312"/>
          <w:sz w:val="28"/>
          <w:szCs w:val="28"/>
        </w:rPr>
      </w:pPr>
    </w:p>
    <w:p w14:paraId="32512819">
      <w:pPr>
        <w:rPr>
          <w:rFonts w:hint="eastAsia" w:ascii="仿宋_GB2312" w:eastAsia="仿宋_GB2312"/>
          <w:sz w:val="28"/>
          <w:szCs w:val="28"/>
        </w:rPr>
      </w:pPr>
    </w:p>
    <w:p w14:paraId="3AA89B8F">
      <w:pPr>
        <w:rPr>
          <w:rFonts w:hint="eastAsia" w:ascii="仿宋_GB2312" w:eastAsia="仿宋_GB2312"/>
          <w:sz w:val="28"/>
          <w:szCs w:val="28"/>
        </w:rPr>
      </w:pPr>
    </w:p>
    <w:p w14:paraId="7A1D92C0">
      <w:pPr>
        <w:rPr>
          <w:rFonts w:hint="eastAsia" w:ascii="仿宋_GB2312" w:eastAsia="仿宋_GB2312"/>
          <w:sz w:val="28"/>
          <w:szCs w:val="28"/>
        </w:rPr>
      </w:pPr>
    </w:p>
    <w:p w14:paraId="094C301E">
      <w:pPr>
        <w:rPr>
          <w:rFonts w:hint="eastAsia" w:ascii="仿宋_GB2312" w:eastAsia="仿宋_GB2312"/>
          <w:sz w:val="28"/>
          <w:szCs w:val="28"/>
        </w:rPr>
      </w:pPr>
    </w:p>
    <w:p w14:paraId="74899AF8">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7E5DC2BF">
      <w:pPr>
        <w:jc w:val="left"/>
        <w:rPr>
          <w:rFonts w:hint="eastAsia" w:ascii="仿宋_GB2312" w:hAnsi="微软雅黑" w:eastAsia="仿宋_GB2312"/>
          <w:sz w:val="28"/>
          <w:szCs w:val="28"/>
        </w:rPr>
      </w:pPr>
    </w:p>
    <w:p w14:paraId="6D7129BD">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2486811F">
      <w:pPr>
        <w:pStyle w:val="8"/>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Ansi="微软雅黑"/>
          <w:sz w:val="28"/>
          <w:szCs w:val="28"/>
        </w:rPr>
        <w:t>附件3</w:t>
      </w:r>
    </w:p>
    <w:p w14:paraId="7CE57CFD">
      <w:pPr>
        <w:jc w:val="center"/>
        <w:rPr>
          <w:rFonts w:hint="eastAsia" w:ascii="黑体" w:hAnsi="黑体" w:eastAsia="黑体" w:cs="黑体"/>
          <w:bCs/>
          <w:sz w:val="44"/>
          <w:szCs w:val="44"/>
        </w:rPr>
      </w:pPr>
      <w:r>
        <w:rPr>
          <w:rFonts w:hint="eastAsia" w:ascii="黑体" w:hAnsi="黑体" w:eastAsia="黑体" w:cs="黑体"/>
          <w:bCs/>
          <w:sz w:val="44"/>
          <w:szCs w:val="44"/>
        </w:rPr>
        <w:t>法定代表人授权书</w:t>
      </w:r>
    </w:p>
    <w:p w14:paraId="55240F4B">
      <w:pPr>
        <w:pStyle w:val="8"/>
        <w:ind w:left="0" w:leftChars="0" w:firstLine="0" w:firstLineChars="0"/>
        <w:jc w:val="center"/>
        <w:rPr>
          <w:rFonts w:hint="eastAsia"/>
          <w:color w:val="FF0000"/>
          <w:sz w:val="28"/>
          <w:szCs w:val="28"/>
        </w:rPr>
      </w:pPr>
      <w:r>
        <w:rPr>
          <w:rFonts w:hint="eastAsia"/>
          <w:color w:val="FF0000"/>
          <w:sz w:val="28"/>
          <w:szCs w:val="28"/>
        </w:rPr>
        <w:t>（如有授权填写）</w:t>
      </w:r>
    </w:p>
    <w:p w14:paraId="03FE498E">
      <w:pPr>
        <w:spacing w:line="60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14:paraId="53C2D5ED">
      <w:pPr>
        <w:spacing w:line="600" w:lineRule="exact"/>
        <w:ind w:firstLine="596" w:firstLineChars="213"/>
        <w:rPr>
          <w:rFonts w:hint="eastAsia" w:ascii="仿宋_GB2312" w:hAnsi="微软雅黑" w:eastAsia="仿宋_GB2312"/>
          <w:sz w:val="28"/>
          <w:szCs w:val="28"/>
        </w:rPr>
      </w:pPr>
      <w:r>
        <w:rPr>
          <w:rFonts w:hint="eastAsia" w:ascii="仿宋_GB2312" w:hAnsi="微软雅黑" w:eastAsia="仿宋_GB2312"/>
          <w:sz w:val="28"/>
          <w:szCs w:val="28"/>
          <w:u w:val="single"/>
        </w:rPr>
        <w:t>（报价人全称）</w:t>
      </w:r>
      <w:r>
        <w:rPr>
          <w:rFonts w:hint="eastAsia" w:ascii="仿宋_GB2312" w:hAnsi="微软雅黑" w:eastAsia="仿宋_GB2312"/>
          <w:sz w:val="28"/>
          <w:szCs w:val="28"/>
        </w:rPr>
        <w:t>法定代表人</w:t>
      </w:r>
      <w:r>
        <w:rPr>
          <w:rFonts w:hint="eastAsia" w:ascii="仿宋_GB2312" w:hAnsi="微软雅黑" w:eastAsia="仿宋_GB2312"/>
          <w:sz w:val="28"/>
          <w:szCs w:val="28"/>
          <w:u w:val="single"/>
        </w:rPr>
        <w:t>（姓名、职务）</w:t>
      </w:r>
      <w:r>
        <w:rPr>
          <w:rFonts w:hint="eastAsia" w:ascii="仿宋_GB2312" w:hAnsi="微软雅黑" w:eastAsia="仿宋_GB2312"/>
          <w:sz w:val="28"/>
          <w:szCs w:val="28"/>
        </w:rPr>
        <w:t xml:space="preserve"> 授权</w:t>
      </w:r>
      <w:r>
        <w:rPr>
          <w:rFonts w:hint="eastAsia" w:ascii="仿宋_GB2312" w:hAnsi="微软雅黑" w:eastAsia="仿宋_GB2312"/>
          <w:sz w:val="28"/>
          <w:szCs w:val="28"/>
          <w:u w:val="single"/>
        </w:rPr>
        <w:t>（授权代表姓名、职务）</w:t>
      </w:r>
      <w:r>
        <w:rPr>
          <w:rFonts w:hint="eastAsia" w:ascii="仿宋_GB2312" w:hAnsi="微软雅黑" w:eastAsia="仿宋_GB2312"/>
          <w:sz w:val="28"/>
          <w:szCs w:val="28"/>
        </w:rPr>
        <w:t>为全权代表，参加贵部组织的项目编号为</w:t>
      </w:r>
      <w:r>
        <w:rPr>
          <w:rFonts w:hint="eastAsia" w:ascii="仿宋_GB2312" w:hAnsi="微软雅黑" w:eastAsia="仿宋_GB2312"/>
          <w:sz w:val="28"/>
          <w:szCs w:val="28"/>
          <w:u w:val="single"/>
        </w:rPr>
        <w:t xml:space="preserve"> （项目编号） </w:t>
      </w:r>
      <w:r>
        <w:rPr>
          <w:rFonts w:hint="eastAsia" w:ascii="仿宋_GB2312" w:hAnsi="微软雅黑" w:eastAsia="仿宋_GB2312"/>
          <w:sz w:val="28"/>
          <w:szCs w:val="28"/>
        </w:rPr>
        <w:t>的</w:t>
      </w:r>
      <w:r>
        <w:rPr>
          <w:rFonts w:hint="eastAsia" w:ascii="仿宋_GB2312" w:hAnsi="微软雅黑" w:eastAsia="仿宋_GB2312"/>
          <w:sz w:val="28"/>
          <w:szCs w:val="28"/>
          <w:u w:val="single"/>
        </w:rPr>
        <w:t xml:space="preserve"> （项目名称） </w:t>
      </w:r>
      <w:r>
        <w:rPr>
          <w:rFonts w:hint="eastAsia" w:ascii="仿宋_GB2312" w:hAnsi="微软雅黑" w:eastAsia="仿宋_GB2312"/>
          <w:sz w:val="28"/>
          <w:szCs w:val="28"/>
        </w:rPr>
        <w:t>采购活动，全权处理采购活动中的一切事宜。</w:t>
      </w:r>
    </w:p>
    <w:p w14:paraId="67658868">
      <w:pPr>
        <w:spacing w:line="560" w:lineRule="exact"/>
        <w:ind w:firstLine="600"/>
        <w:rPr>
          <w:rFonts w:hint="eastAsia" w:ascii="仿宋_GB2312" w:hAnsi="微软雅黑" w:eastAsia="仿宋_GB2312"/>
          <w:sz w:val="28"/>
          <w:szCs w:val="28"/>
        </w:rPr>
      </w:pPr>
    </w:p>
    <w:p w14:paraId="25AACCD2">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530DAC12">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w:t>
      </w:r>
    </w:p>
    <w:p w14:paraId="18B1AD7D">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法定代表人：（签字或盖章）</w:t>
      </w:r>
    </w:p>
    <w:p w14:paraId="44537F19">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7261E784">
      <w:pPr>
        <w:spacing w:line="560" w:lineRule="exact"/>
        <w:rPr>
          <w:rFonts w:hint="eastAsia" w:ascii="仿宋_GB2312" w:hAnsi="微软雅黑" w:eastAsia="仿宋_GB2312"/>
          <w:sz w:val="28"/>
          <w:szCs w:val="28"/>
        </w:rPr>
      </w:pPr>
      <w:r>
        <w:rPr>
          <w:rFonts w:hint="eastAsia" w:ascii="仿宋_GB2312" w:hAnsi="微软雅黑" w:eastAsia="仿宋_GB2312"/>
          <w:sz w:val="28"/>
          <w:szCs w:val="28"/>
        </w:rPr>
        <w:t>附：</w:t>
      </w:r>
    </w:p>
    <w:p w14:paraId="4D104320">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授权代表姓名：              身份证号码：</w:t>
      </w:r>
    </w:p>
    <w:p w14:paraId="49B55130">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职    务：                  电    话：</w:t>
      </w:r>
    </w:p>
    <w:p w14:paraId="38C072C3">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传    真：                  邮    编：</w:t>
      </w:r>
    </w:p>
    <w:p w14:paraId="730B0D1F">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通讯地址：</w:t>
      </w:r>
    </w:p>
    <w:p w14:paraId="48905EC2">
      <w:pPr>
        <w:spacing w:line="560" w:lineRule="exact"/>
        <w:ind w:firstLine="573"/>
        <w:rPr>
          <w:rFonts w:hint="eastAsia" w:ascii="仿宋_GB2312" w:eastAsia="仿宋_GB2312"/>
        </w:rPr>
      </w:pPr>
      <w:r>
        <w:rPr>
          <w:rFonts w:hint="eastAsia" w:ascii="仿宋_GB2312" w:eastAsia="仿宋_GB2312"/>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4445" t="4445" r="15240" b="12700"/>
                <wp:wrapNone/>
                <wp:docPr id="4" name="文本框 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58CEA097">
                            <w:pPr>
                              <w:jc w:val="center"/>
                              <w:rPr>
                                <w:rFonts w:ascii="宋体"/>
                              </w:rPr>
                            </w:pPr>
                          </w:p>
                          <w:p w14:paraId="0F600EE1">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4271E3EB">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25.1pt;margin-top:14.6pt;height:88.65pt;width:176.45pt;z-index:251662336;v-text-anchor:middle;mso-width-relative:page;mso-height-relative:page;" coordsize="21600,21600" o:gfxdata="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x+uXtYAAAAKAQAA&#10;DwAAAAAAAAABACAAAAAiAAAAZHJzL2Rvd25yZXYueG1sUEsBAhQAFAAAAAgAh07iQIc5S/gbAgAA&#10;UQQAAA4AAAAAAAAAAQAgAAAAJQEAAGRycy9lMm9Eb2MueG1sUEsFBgAAAAAGAAYAWQEAALIFAAAA&#10;AA==&#10;">
                <v:path/>
                <v:fill focussize="0,0"/>
                <v:stroke dashstyle="dash"/>
                <v:imagedata o:title=""/>
                <o:lock v:ext="edit"/>
                <v:textbox>
                  <w:txbxContent>
                    <w:p w14:paraId="58CEA097">
                      <w:pPr>
                        <w:jc w:val="center"/>
                        <w:rPr>
                          <w:rFonts w:ascii="宋体"/>
                        </w:rPr>
                      </w:pPr>
                    </w:p>
                    <w:p w14:paraId="0F600EE1">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4271E3EB">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v:textbox>
              </v:shape>
            </w:pict>
          </mc:Fallback>
        </mc:AlternateContent>
      </w:r>
      <w:r>
        <w:rPr>
          <w:rFonts w:hint="eastAsia" w:ascii="仿宋_GB2312" w:eastAsia="仿宋_GB2312"/>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4445" t="4445" r="15240" b="12700"/>
                <wp:wrapNone/>
                <wp:docPr id="3" name="文本框 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295420E9">
                            <w:pPr>
                              <w:jc w:val="center"/>
                              <w:rPr>
                                <w:rFonts w:ascii="宋体"/>
                              </w:rPr>
                            </w:pPr>
                          </w:p>
                          <w:p w14:paraId="63DBCE3A">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6E227B7E">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9.25pt;margin-top:14.45pt;height:88.65pt;width:176.45pt;z-index:251661312;v-text-anchor:middle;mso-width-relative:page;mso-height-relative:page;" coordsize="21600,21600" o:gfxdata="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hgrjRdYAAAAJAQAA&#10;DwAAAAAAAAABACAAAAAiAAAAZHJzL2Rvd25yZXYueG1sUEsBAhQAFAAAAAgAh07iQCLsSvYbAgAA&#10;UQQAAA4AAAAAAAAAAQAgAAAAJQEAAGRycy9lMm9Eb2MueG1sUEsFBgAAAAAGAAYAWQEAALIFAAAA&#10;AA==&#10;">
                <v:path/>
                <v:fill focussize="0,0"/>
                <v:stroke dashstyle="dash"/>
                <v:imagedata o:title=""/>
                <o:lock v:ext="edit"/>
                <v:textbox>
                  <w:txbxContent>
                    <w:p w14:paraId="295420E9">
                      <w:pPr>
                        <w:jc w:val="center"/>
                        <w:rPr>
                          <w:rFonts w:ascii="宋体"/>
                        </w:rPr>
                      </w:pPr>
                    </w:p>
                    <w:p w14:paraId="63DBCE3A">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6E227B7E">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v:textbox>
              </v:shape>
            </w:pict>
          </mc:Fallback>
        </mc:AlternateContent>
      </w:r>
    </w:p>
    <w:p w14:paraId="1A58C21E">
      <w:pPr>
        <w:spacing w:line="560" w:lineRule="exact"/>
        <w:ind w:firstLine="573"/>
        <w:rPr>
          <w:rFonts w:hint="eastAsia" w:ascii="仿宋_GB2312" w:eastAsia="仿宋_GB2312"/>
        </w:rPr>
      </w:pPr>
    </w:p>
    <w:p w14:paraId="64416128">
      <w:pPr>
        <w:spacing w:line="560" w:lineRule="exact"/>
        <w:ind w:firstLine="573"/>
        <w:rPr>
          <w:rFonts w:hint="eastAsia" w:ascii="仿宋_GB2312" w:eastAsia="仿宋_GB2312"/>
        </w:rPr>
      </w:pPr>
    </w:p>
    <w:p w14:paraId="07F467AF">
      <w:pPr>
        <w:spacing w:line="560" w:lineRule="exact"/>
        <w:ind w:firstLine="573"/>
        <w:rPr>
          <w:rFonts w:hint="eastAsia" w:ascii="仿宋_GB2312" w:eastAsia="仿宋_GB2312"/>
        </w:rPr>
      </w:pPr>
    </w:p>
    <w:p w14:paraId="03A064F1">
      <w:pPr>
        <w:pStyle w:val="8"/>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附件4</w:t>
      </w:r>
    </w:p>
    <w:p w14:paraId="033A7772">
      <w:pPr>
        <w:jc w:val="center"/>
        <w:rPr>
          <w:rFonts w:hint="eastAsia" w:ascii="黑体" w:hAnsi="黑体" w:eastAsia="黑体" w:cs="黑体"/>
          <w:bCs/>
          <w:sz w:val="44"/>
          <w:szCs w:val="44"/>
        </w:rPr>
      </w:pPr>
      <w:r>
        <w:rPr>
          <w:rFonts w:hint="eastAsia" w:ascii="黑体" w:hAnsi="黑体" w:eastAsia="黑体" w:cs="黑体"/>
          <w:bCs/>
          <w:sz w:val="44"/>
          <w:szCs w:val="44"/>
        </w:rPr>
        <w:t>供应商承诺声明</w:t>
      </w:r>
    </w:p>
    <w:p w14:paraId="3DFE4B26">
      <w:pPr>
        <w:spacing w:line="52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14:paraId="3C172B13">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w:t>
      </w:r>
      <w:r>
        <w:rPr>
          <w:rFonts w:hint="eastAsia" w:ascii="仿宋_GB2312" w:hAnsi="微软雅黑" w:eastAsia="仿宋_GB2312"/>
          <w:sz w:val="28"/>
          <w:szCs w:val="28"/>
          <w:u w:val="single"/>
        </w:rPr>
        <w:t>（报价供应商全称）</w:t>
      </w:r>
      <w:r>
        <w:rPr>
          <w:rFonts w:hint="eastAsia" w:ascii="仿宋_GB2312" w:hAnsi="宋体" w:eastAsia="仿宋_GB2312"/>
          <w:sz w:val="28"/>
          <w:szCs w:val="28"/>
        </w:rPr>
        <w:t>自愿参加贵部组织的</w:t>
      </w:r>
      <w:r>
        <w:rPr>
          <w:rFonts w:hint="eastAsia" w:ascii="仿宋_GB2312" w:hAnsi="宋体" w:eastAsia="仿宋_GB2312"/>
          <w:sz w:val="28"/>
          <w:szCs w:val="28"/>
          <w:u w:val="single"/>
        </w:rPr>
        <w:t>（项目名称）</w:t>
      </w:r>
      <w:r>
        <w:rPr>
          <w:rFonts w:hint="eastAsia" w:ascii="仿宋_GB2312" w:hAnsi="宋体" w:eastAsia="仿宋_GB2312"/>
          <w:sz w:val="28"/>
          <w:szCs w:val="28"/>
        </w:rPr>
        <w:t>、（项目编号：</w:t>
      </w:r>
      <w:r>
        <w:rPr>
          <w:rFonts w:hint="eastAsia" w:ascii="仿宋_GB2312" w:hAnsi="宋体" w:eastAsia="仿宋_GB2312"/>
          <w:sz w:val="28"/>
          <w:szCs w:val="28"/>
          <w:u w:val="single"/>
        </w:rPr>
        <w:t xml:space="preserve">          </w:t>
      </w:r>
      <w:r>
        <w:rPr>
          <w:rFonts w:hint="eastAsia" w:ascii="仿宋_GB2312" w:hAnsi="宋体" w:eastAsia="仿宋_GB2312"/>
          <w:sz w:val="28"/>
          <w:szCs w:val="28"/>
        </w:rPr>
        <w:t>）采购活动，承诺声明如下：</w:t>
      </w:r>
    </w:p>
    <w:p w14:paraId="69F064B6">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一、供应商诚信承诺</w:t>
      </w:r>
    </w:p>
    <w:p w14:paraId="2C12DFA1">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1.如实编写投标文件，对投标文件中提供的文件材料、图片影像、财务数据、资产情况及相应证明等材料的真实性、完整性、准确性，承担相应的法律责任。</w:t>
      </w:r>
    </w:p>
    <w:p w14:paraId="1DC58FDC">
      <w:pPr>
        <w:widowControl/>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2.</w:t>
      </w:r>
      <w:r>
        <w:rPr>
          <w:rFonts w:hint="eastAsia" w:ascii="仿宋_GB2312" w:hAnsi="宋体" w:eastAsia="仿宋_GB2312"/>
          <w:sz w:val="28"/>
          <w:szCs w:val="28"/>
        </w:rPr>
        <w:t>因单位转制、兼并、股改等特殊情况，无法提供原始材料、财务数据、资产情况等，造成单位信息难以确认时，自愿放弃参加军队采购活动。</w:t>
      </w:r>
    </w:p>
    <w:p w14:paraId="5E8A8DD9">
      <w:pPr>
        <w:spacing w:line="600" w:lineRule="exact"/>
        <w:ind w:firstLine="560" w:firstLineChars="200"/>
        <w:rPr>
          <w:rFonts w:hint="eastAsia" w:ascii="仿宋_GB2312" w:hAnsi="宋体" w:eastAsia="仿宋_GB2312"/>
          <w:sz w:val="28"/>
          <w:szCs w:val="28"/>
        </w:rPr>
      </w:pPr>
      <w:r>
        <w:rPr>
          <w:rFonts w:hint="eastAsia" w:ascii="仿宋_GB2312" w:eastAsia="仿宋_GB2312"/>
          <w:sz w:val="28"/>
          <w:szCs w:val="28"/>
        </w:rPr>
        <w:t>3.</w:t>
      </w:r>
      <w:r>
        <w:rPr>
          <w:rFonts w:hint="eastAsia" w:ascii="仿宋_GB2312" w:hAnsi="宋体" w:eastAsia="仿宋_GB2312"/>
          <w:sz w:val="28"/>
          <w:szCs w:val="28"/>
        </w:rPr>
        <w:t>在提供投标文件或现场核查时，如存在伪造文件材料，提供虚假图片影像、业绩合同、材料数据等，造假或篡改相关数据及资产等情况，自愿放弃中标资格并无条件接受相应处罚。</w:t>
      </w:r>
    </w:p>
    <w:p w14:paraId="25FAE972">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二、保密承诺</w:t>
      </w:r>
    </w:p>
    <w:p w14:paraId="620191B6">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1.严格遵守国家和军队的保密法律法规，履行保密义务。</w:t>
      </w:r>
    </w:p>
    <w:p w14:paraId="3CB6BC3F">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2.不以任何方式泄露或传播本次采购项目相关信息。</w:t>
      </w:r>
    </w:p>
    <w:p w14:paraId="39E487E1">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3.不违规记录、存储、复制本次采购项目相关信息。</w:t>
      </w:r>
    </w:p>
    <w:p w14:paraId="0711825B">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4.招标文件以及相关技术文件专室放置、专盘存储、专人管理。</w:t>
      </w:r>
    </w:p>
    <w:p w14:paraId="022F6654">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5.未经采购机构审查批准，不得擅自在互联网、通讯媒体等发表涉及此次采购项目相关信息。</w:t>
      </w:r>
    </w:p>
    <w:p w14:paraId="320EAD1F">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三、未被列入违法失信名单承诺</w:t>
      </w:r>
    </w:p>
    <w:p w14:paraId="74730CDD">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14:paraId="5C59A6F9">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四、</w:t>
      </w:r>
      <w:r>
        <w:rPr>
          <w:rFonts w:hint="eastAsia" w:ascii="黑体" w:hAnsi="黑体" w:eastAsia="黑体" w:cs="宋体"/>
          <w:sz w:val="28"/>
          <w:szCs w:val="28"/>
        </w:rPr>
        <w:t>关联</w:t>
      </w:r>
      <w:r>
        <w:rPr>
          <w:rFonts w:hint="eastAsia" w:ascii="黑体" w:hAnsi="黑体" w:eastAsia="黑体"/>
          <w:sz w:val="28"/>
          <w:szCs w:val="28"/>
        </w:rPr>
        <w:t>关系企业不参与采购活动承诺</w:t>
      </w:r>
    </w:p>
    <w:p w14:paraId="500251C1">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与我单位负责人为同一人或存在直接控股或管理关系的不同供应商，未参加同一包采购活动。</w:t>
      </w:r>
    </w:p>
    <w:p w14:paraId="3D85EC89">
      <w:pPr>
        <w:spacing w:line="600" w:lineRule="exact"/>
        <w:ind w:firstLine="560" w:firstLineChars="200"/>
        <w:rPr>
          <w:rFonts w:hint="eastAsia" w:ascii="仿宋_GB2312" w:eastAsia="仿宋_GB2312"/>
          <w:sz w:val="28"/>
          <w:szCs w:val="28"/>
        </w:rPr>
      </w:pPr>
      <w:r>
        <w:rPr>
          <w:rFonts w:hint="eastAsia" w:ascii="仿宋_GB2312" w:hAnsi="宋体" w:eastAsia="仿宋_GB2312"/>
          <w:sz w:val="28"/>
          <w:szCs w:val="28"/>
        </w:rPr>
        <w:t>我单位为生产型企业的，与我单位生产场经营地址或注册登记地址为同一地址的其他生产型企业，未参加同一包采购活动。</w:t>
      </w:r>
    </w:p>
    <w:p w14:paraId="392255B2">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14:paraId="718160A8">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我单位提供的业绩证明材料中，合同缔约方不存在控股或管理关系。</w:t>
      </w:r>
    </w:p>
    <w:p w14:paraId="6CE513FA">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五、前3年没有重大违法记录的书面声明</w:t>
      </w:r>
    </w:p>
    <w:p w14:paraId="4C999AEB">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参加军队采购活动前3年内，在经营活动中没有受到刑事处罚或者责令停产停业、吊销许可证或者执照、较大数额罚款（200万元以上）等重大违法记录；</w:t>
      </w:r>
    </w:p>
    <w:p w14:paraId="64E1FD16">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六、没有发生过重大质量安全事故的书面声明</w:t>
      </w:r>
    </w:p>
    <w:p w14:paraId="5A847B54">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我单位近3年没有发生过重大质量安全事故。</w:t>
      </w:r>
    </w:p>
    <w:p w14:paraId="56006D2F">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七、非外资独资企业或控股企业的书面声明</w:t>
      </w:r>
    </w:p>
    <w:p w14:paraId="09560BD8">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我单位为非外资独资企业或控股企业。</w:t>
      </w:r>
    </w:p>
    <w:p w14:paraId="29138040">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八、履约承诺</w:t>
      </w:r>
    </w:p>
    <w:p w14:paraId="03B023A5">
      <w:pPr>
        <w:widowControl/>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如果我方违反上述承诺声明内容，愿意承担由此导致的一切不利后果和法律责任，接受军队采购管理部门和采购机构按国家和军队有关法规作出的相关处罚。</w:t>
      </w:r>
    </w:p>
    <w:p w14:paraId="60595EAE">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5ED15188">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72A00ADA">
      <w:pPr>
        <w:widowControl/>
        <w:autoSpaceDE w:val="0"/>
        <w:autoSpaceDN w:val="0"/>
        <w:adjustRightInd w:val="0"/>
        <w:spacing w:line="600" w:lineRule="exact"/>
        <w:ind w:firstLine="560" w:firstLineChars="200"/>
        <w:rPr>
          <w:rFonts w:hint="eastAsia" w:ascii="仿宋_GB2312" w:eastAsia="仿宋_GB2312"/>
          <w:sz w:val="28"/>
          <w:szCs w:val="28"/>
        </w:rPr>
      </w:pPr>
    </w:p>
    <w:p w14:paraId="6BDBEEC2">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2CFE7753">
      <w:pPr>
        <w:spacing w:line="600" w:lineRule="exact"/>
        <w:ind w:firstLine="3080" w:firstLineChars="1100"/>
        <w:jc w:val="left"/>
        <w:rPr>
          <w:rFonts w:hint="eastAsia" w:ascii="仿宋_GB2312" w:hAnsi="宋体" w:eastAsia="仿宋_GB2312"/>
          <w:sz w:val="28"/>
          <w:szCs w:val="28"/>
        </w:rPr>
      </w:pPr>
      <w:r>
        <w:rPr>
          <w:rFonts w:hint="eastAsia" w:ascii="仿宋_GB2312" w:hAnsi="宋体" w:eastAsia="仿宋_GB2312"/>
          <w:sz w:val="28"/>
          <w:szCs w:val="28"/>
        </w:rPr>
        <w:t>法定代表人（或授权代表）：（签字）</w:t>
      </w:r>
    </w:p>
    <w:p w14:paraId="6D0D219E">
      <w:pPr>
        <w:pStyle w:val="4"/>
        <w:ind w:left="0" w:leftChars="0"/>
        <w:rPr>
          <w:rFonts w:hint="eastAsia"/>
        </w:rPr>
      </w:pPr>
    </w:p>
    <w:p w14:paraId="7B33B7A5">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47836303">
      <w:pPr>
        <w:spacing w:line="560" w:lineRule="exact"/>
        <w:rPr>
          <w:rFonts w:hint="eastAsia" w:ascii="仿宋_GB2312" w:hAnsi="微软雅黑" w:eastAsia="仿宋_GB2312"/>
          <w:sz w:val="28"/>
          <w:szCs w:val="28"/>
        </w:rPr>
        <w:sectPr>
          <w:pgSz w:w="11906" w:h="16838"/>
          <w:pgMar w:top="2098" w:right="1474" w:bottom="1985" w:left="1588" w:header="851" w:footer="992" w:gutter="0"/>
          <w:pgNumType w:chapSep="emDash"/>
          <w:cols w:space="720" w:num="1"/>
          <w:docGrid w:type="lines" w:linePitch="312" w:charSpace="0"/>
        </w:sectPr>
      </w:pPr>
    </w:p>
    <w:p w14:paraId="061901DD">
      <w:pPr>
        <w:pStyle w:val="8"/>
        <w:widowControl/>
        <w:tabs>
          <w:tab w:val="left" w:pos="1875"/>
        </w:tabs>
        <w:ind w:left="0" w:leftChars="0" w:firstLine="0" w:firstLineChars="0"/>
        <w:rPr>
          <w:rFonts w:hint="eastAsia" w:hAnsi="微软雅黑" w:eastAsia="仿宋_GB2312"/>
          <w:sz w:val="28"/>
          <w:szCs w:val="28"/>
        </w:rPr>
      </w:pPr>
      <w:r>
        <w:rPr>
          <w:rFonts w:hAnsi="微软雅黑"/>
          <w:sz w:val="28"/>
          <w:szCs w:val="28"/>
        </w:rPr>
        <w:t>附件</w:t>
      </w:r>
      <w:r>
        <w:rPr>
          <w:rFonts w:hint="eastAsia" w:hAnsi="微软雅黑"/>
          <w:sz w:val="28"/>
          <w:szCs w:val="28"/>
        </w:rPr>
        <w:t>5</w:t>
      </w:r>
    </w:p>
    <w:p w14:paraId="42A51958">
      <w:pPr>
        <w:jc w:val="center"/>
        <w:rPr>
          <w:rFonts w:hint="eastAsia" w:ascii="黑体" w:hAnsi="黑体" w:eastAsia="黑体" w:cs="黑体"/>
          <w:bCs/>
          <w:sz w:val="44"/>
          <w:szCs w:val="44"/>
          <w:lang w:bidi="ar"/>
        </w:rPr>
      </w:pPr>
      <w:r>
        <w:rPr>
          <w:rFonts w:hint="eastAsia" w:ascii="黑体" w:hAnsi="黑体" w:eastAsia="黑体" w:cs="黑体"/>
          <w:bCs/>
          <w:sz w:val="44"/>
          <w:szCs w:val="44"/>
          <w:lang w:bidi="ar"/>
        </w:rPr>
        <w:t>响应偏离表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704"/>
        <w:gridCol w:w="3641"/>
        <w:gridCol w:w="3641"/>
        <w:gridCol w:w="1118"/>
        <w:gridCol w:w="1241"/>
        <w:gridCol w:w="866"/>
      </w:tblGrid>
      <w:tr w14:paraId="3BDB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8" w:hRule="atLeast"/>
        </w:trPr>
        <w:tc>
          <w:tcPr>
            <w:tcW w:w="760" w:type="dxa"/>
            <w:tcBorders>
              <w:top w:val="single" w:color="auto" w:sz="4" w:space="0"/>
              <w:left w:val="single" w:color="auto" w:sz="4" w:space="0"/>
              <w:right w:val="single" w:color="auto" w:sz="4" w:space="0"/>
            </w:tcBorders>
            <w:noWrap w:val="0"/>
            <w:vAlign w:val="center"/>
          </w:tcPr>
          <w:p w14:paraId="444E7E37">
            <w:pPr>
              <w:widowControl/>
              <w:spacing w:line="360" w:lineRule="exact"/>
              <w:jc w:val="center"/>
              <w:rPr>
                <w:rFonts w:ascii="宋体" w:hAnsi="宋体"/>
                <w:sz w:val="24"/>
              </w:rPr>
            </w:pPr>
            <w:r>
              <w:rPr>
                <w:rFonts w:hint="eastAsia" w:ascii="宋体" w:hAnsi="宋体"/>
                <w:sz w:val="24"/>
              </w:rPr>
              <w:t>序号</w:t>
            </w:r>
          </w:p>
        </w:tc>
        <w:tc>
          <w:tcPr>
            <w:tcW w:w="1704" w:type="dxa"/>
            <w:tcBorders>
              <w:top w:val="single" w:color="auto" w:sz="4" w:space="0"/>
              <w:left w:val="single" w:color="auto" w:sz="4" w:space="0"/>
              <w:right w:val="single" w:color="auto" w:sz="4" w:space="0"/>
            </w:tcBorders>
            <w:noWrap w:val="0"/>
            <w:vAlign w:val="center"/>
          </w:tcPr>
          <w:p w14:paraId="3C07A742">
            <w:pPr>
              <w:widowControl/>
              <w:spacing w:line="360" w:lineRule="exact"/>
              <w:jc w:val="center"/>
              <w:rPr>
                <w:rFonts w:ascii="宋体" w:hAnsi="宋体"/>
                <w:sz w:val="24"/>
              </w:rPr>
            </w:pPr>
            <w:r>
              <w:rPr>
                <w:rFonts w:hint="eastAsia" w:ascii="宋体" w:hAnsi="宋体"/>
                <w:sz w:val="24"/>
              </w:rPr>
              <w:t>评审项目</w:t>
            </w:r>
          </w:p>
        </w:tc>
        <w:tc>
          <w:tcPr>
            <w:tcW w:w="3641" w:type="dxa"/>
            <w:tcBorders>
              <w:top w:val="single" w:color="auto" w:sz="4" w:space="0"/>
              <w:left w:val="single" w:color="auto" w:sz="4" w:space="0"/>
              <w:right w:val="single" w:color="auto" w:sz="4" w:space="0"/>
            </w:tcBorders>
            <w:noWrap w:val="0"/>
            <w:vAlign w:val="center"/>
          </w:tcPr>
          <w:p w14:paraId="2FFC777B">
            <w:pPr>
              <w:widowControl/>
              <w:spacing w:line="360" w:lineRule="exact"/>
              <w:jc w:val="center"/>
              <w:rPr>
                <w:rFonts w:ascii="宋体" w:hAnsi="宋体"/>
                <w:sz w:val="24"/>
              </w:rPr>
            </w:pPr>
            <w:r>
              <w:rPr>
                <w:rFonts w:hint="eastAsia" w:ascii="宋体" w:hAnsi="宋体"/>
                <w:sz w:val="24"/>
              </w:rPr>
              <w:t>采购内容明细</w:t>
            </w:r>
          </w:p>
        </w:tc>
        <w:tc>
          <w:tcPr>
            <w:tcW w:w="3641" w:type="dxa"/>
            <w:tcBorders>
              <w:top w:val="single" w:color="auto" w:sz="4" w:space="0"/>
              <w:left w:val="single" w:color="auto" w:sz="4" w:space="0"/>
              <w:right w:val="single" w:color="auto" w:sz="4" w:space="0"/>
            </w:tcBorders>
            <w:noWrap w:val="0"/>
            <w:vAlign w:val="center"/>
          </w:tcPr>
          <w:p w14:paraId="19CF4DAB">
            <w:pPr>
              <w:widowControl/>
              <w:spacing w:line="360" w:lineRule="exact"/>
              <w:jc w:val="center"/>
              <w:rPr>
                <w:rFonts w:ascii="宋体" w:hAnsi="宋体"/>
                <w:sz w:val="24"/>
              </w:rPr>
            </w:pPr>
            <w:r>
              <w:rPr>
                <w:rFonts w:hint="eastAsia" w:ascii="宋体" w:hAnsi="宋体"/>
                <w:sz w:val="24"/>
              </w:rPr>
              <w:t>供应商响应</w:t>
            </w:r>
          </w:p>
        </w:tc>
        <w:tc>
          <w:tcPr>
            <w:tcW w:w="1118" w:type="dxa"/>
            <w:tcBorders>
              <w:top w:val="single" w:color="auto" w:sz="4" w:space="0"/>
              <w:left w:val="single" w:color="auto" w:sz="4" w:space="0"/>
              <w:right w:val="single" w:color="auto" w:sz="4" w:space="0"/>
            </w:tcBorders>
            <w:noWrap w:val="0"/>
            <w:vAlign w:val="center"/>
          </w:tcPr>
          <w:p w14:paraId="2D312338">
            <w:pPr>
              <w:widowControl/>
              <w:spacing w:line="360" w:lineRule="exact"/>
              <w:jc w:val="center"/>
              <w:rPr>
                <w:rFonts w:ascii="宋体" w:hAnsi="宋体"/>
                <w:sz w:val="24"/>
              </w:rPr>
            </w:pPr>
            <w:r>
              <w:rPr>
                <w:rFonts w:hint="eastAsia" w:ascii="宋体" w:hAnsi="宋体"/>
                <w:sz w:val="24"/>
              </w:rPr>
              <w:t>偏离</w:t>
            </w:r>
            <w:r>
              <w:rPr>
                <w:rFonts w:hint="eastAsia"/>
                <w:bCs/>
                <w:sz w:val="24"/>
              </w:rPr>
              <w:t>度</w:t>
            </w:r>
          </w:p>
        </w:tc>
        <w:tc>
          <w:tcPr>
            <w:tcW w:w="1241" w:type="dxa"/>
            <w:tcBorders>
              <w:top w:val="single" w:color="auto" w:sz="4" w:space="0"/>
              <w:left w:val="single" w:color="auto" w:sz="4" w:space="0"/>
              <w:right w:val="single" w:color="auto" w:sz="4" w:space="0"/>
            </w:tcBorders>
            <w:noWrap w:val="0"/>
            <w:vAlign w:val="center"/>
          </w:tcPr>
          <w:p w14:paraId="3EADEDE5">
            <w:pPr>
              <w:widowControl/>
              <w:spacing w:line="360" w:lineRule="exact"/>
              <w:jc w:val="center"/>
              <w:rPr>
                <w:rFonts w:ascii="宋体" w:hAnsi="宋体"/>
                <w:sz w:val="24"/>
              </w:rPr>
            </w:pPr>
            <w:r>
              <w:rPr>
                <w:rFonts w:hint="eastAsia"/>
                <w:bCs/>
                <w:sz w:val="24"/>
              </w:rPr>
              <w:t>文件名称</w:t>
            </w:r>
            <w:r>
              <w:rPr>
                <w:rFonts w:hint="eastAsia" w:ascii="宋体" w:hAnsi="宋体"/>
                <w:bCs/>
                <w:sz w:val="24"/>
              </w:rPr>
              <w:t>∕页码</w:t>
            </w:r>
          </w:p>
        </w:tc>
        <w:tc>
          <w:tcPr>
            <w:tcW w:w="866" w:type="dxa"/>
            <w:tcBorders>
              <w:top w:val="single" w:color="auto" w:sz="4" w:space="0"/>
              <w:left w:val="single" w:color="auto" w:sz="4" w:space="0"/>
              <w:right w:val="single" w:color="auto" w:sz="4" w:space="0"/>
            </w:tcBorders>
            <w:noWrap w:val="0"/>
            <w:vAlign w:val="center"/>
          </w:tcPr>
          <w:p w14:paraId="51B78C43">
            <w:pPr>
              <w:spacing w:line="360" w:lineRule="exact"/>
              <w:jc w:val="center"/>
              <w:rPr>
                <w:rFonts w:ascii="宋体" w:hAnsi="宋体"/>
                <w:sz w:val="24"/>
              </w:rPr>
            </w:pPr>
            <w:r>
              <w:rPr>
                <w:rFonts w:hint="eastAsia" w:ascii="宋体" w:hAnsi="宋体"/>
                <w:sz w:val="24"/>
              </w:rPr>
              <w:t>备注</w:t>
            </w:r>
          </w:p>
        </w:tc>
      </w:tr>
      <w:tr w14:paraId="0AC0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60" w:type="dxa"/>
            <w:tcBorders>
              <w:top w:val="single" w:color="auto" w:sz="4" w:space="0"/>
              <w:left w:val="single" w:color="auto" w:sz="4" w:space="0"/>
              <w:bottom w:val="single" w:color="auto" w:sz="4" w:space="0"/>
              <w:right w:val="single" w:color="auto" w:sz="4" w:space="0"/>
            </w:tcBorders>
            <w:noWrap w:val="0"/>
            <w:vAlign w:val="center"/>
          </w:tcPr>
          <w:p w14:paraId="4617C0A0">
            <w:pPr>
              <w:spacing w:line="360" w:lineRule="exact"/>
              <w:rPr>
                <w:rFonts w:ascii="宋体" w:hAnsi="宋体"/>
                <w:sz w:val="24"/>
              </w:rPr>
            </w:pPr>
          </w:p>
        </w:tc>
        <w:tc>
          <w:tcPr>
            <w:tcW w:w="1704" w:type="dxa"/>
            <w:tcBorders>
              <w:top w:val="single" w:color="auto" w:sz="4" w:space="0"/>
              <w:left w:val="single" w:color="auto" w:sz="4" w:space="0"/>
              <w:bottom w:val="single" w:color="auto" w:sz="4" w:space="0"/>
              <w:right w:val="single" w:color="auto" w:sz="4" w:space="0"/>
            </w:tcBorders>
            <w:noWrap w:val="0"/>
            <w:vAlign w:val="center"/>
          </w:tcPr>
          <w:p w14:paraId="247B2200">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7244E6F9">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683070E5">
            <w:pPr>
              <w:spacing w:line="360" w:lineRule="exact"/>
              <w:rPr>
                <w:rFonts w:ascii="宋体" w:hAnsi="宋体"/>
                <w:sz w:val="24"/>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3A96EFD9">
            <w:pPr>
              <w:spacing w:line="360" w:lineRule="exact"/>
              <w:rPr>
                <w:rFonts w:ascii="宋体" w:hAnsi="宋体"/>
                <w:sz w:val="24"/>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35C188C5">
            <w:pPr>
              <w:spacing w:line="360" w:lineRule="exact"/>
              <w:rPr>
                <w:rFonts w:ascii="宋体" w:hAnsi="宋体"/>
                <w:sz w:val="24"/>
              </w:rPr>
            </w:pPr>
          </w:p>
        </w:tc>
        <w:tc>
          <w:tcPr>
            <w:tcW w:w="866" w:type="dxa"/>
            <w:tcBorders>
              <w:top w:val="single" w:color="auto" w:sz="4" w:space="0"/>
              <w:left w:val="single" w:color="auto" w:sz="4" w:space="0"/>
              <w:bottom w:val="single" w:color="auto" w:sz="4" w:space="0"/>
              <w:right w:val="single" w:color="auto" w:sz="4" w:space="0"/>
            </w:tcBorders>
            <w:noWrap w:val="0"/>
            <w:vAlign w:val="center"/>
          </w:tcPr>
          <w:p w14:paraId="5A1FE2E7">
            <w:pPr>
              <w:spacing w:line="360" w:lineRule="exact"/>
              <w:rPr>
                <w:rFonts w:ascii="宋体" w:hAnsi="宋体"/>
                <w:sz w:val="24"/>
              </w:rPr>
            </w:pPr>
          </w:p>
        </w:tc>
      </w:tr>
      <w:tr w14:paraId="5692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60" w:type="dxa"/>
            <w:tcBorders>
              <w:top w:val="single" w:color="auto" w:sz="4" w:space="0"/>
              <w:left w:val="single" w:color="auto" w:sz="4" w:space="0"/>
              <w:bottom w:val="single" w:color="auto" w:sz="4" w:space="0"/>
              <w:right w:val="single" w:color="auto" w:sz="4" w:space="0"/>
            </w:tcBorders>
            <w:noWrap w:val="0"/>
            <w:vAlign w:val="center"/>
          </w:tcPr>
          <w:p w14:paraId="7B937751">
            <w:pPr>
              <w:spacing w:line="360" w:lineRule="exact"/>
              <w:rPr>
                <w:rFonts w:ascii="宋体" w:hAnsi="宋体"/>
                <w:sz w:val="24"/>
              </w:rPr>
            </w:pPr>
          </w:p>
        </w:tc>
        <w:tc>
          <w:tcPr>
            <w:tcW w:w="1704" w:type="dxa"/>
            <w:tcBorders>
              <w:top w:val="single" w:color="auto" w:sz="4" w:space="0"/>
              <w:left w:val="single" w:color="auto" w:sz="4" w:space="0"/>
              <w:bottom w:val="single" w:color="auto" w:sz="4" w:space="0"/>
              <w:right w:val="single" w:color="auto" w:sz="4" w:space="0"/>
            </w:tcBorders>
            <w:noWrap w:val="0"/>
            <w:vAlign w:val="center"/>
          </w:tcPr>
          <w:p w14:paraId="4025B0F1">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59EEC4E8">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1A213063">
            <w:pPr>
              <w:spacing w:line="360" w:lineRule="exact"/>
              <w:rPr>
                <w:rFonts w:ascii="宋体" w:hAnsi="宋体"/>
                <w:sz w:val="24"/>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AB04849">
            <w:pPr>
              <w:spacing w:line="360" w:lineRule="exact"/>
              <w:rPr>
                <w:rFonts w:ascii="宋体" w:hAnsi="宋体"/>
                <w:sz w:val="24"/>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578707A1">
            <w:pPr>
              <w:spacing w:line="360" w:lineRule="exact"/>
              <w:rPr>
                <w:rFonts w:ascii="宋体" w:hAnsi="宋体"/>
                <w:sz w:val="24"/>
              </w:rPr>
            </w:pPr>
          </w:p>
        </w:tc>
        <w:tc>
          <w:tcPr>
            <w:tcW w:w="866" w:type="dxa"/>
            <w:tcBorders>
              <w:top w:val="single" w:color="auto" w:sz="4" w:space="0"/>
              <w:left w:val="single" w:color="auto" w:sz="4" w:space="0"/>
              <w:bottom w:val="single" w:color="auto" w:sz="4" w:space="0"/>
              <w:right w:val="single" w:color="auto" w:sz="4" w:space="0"/>
            </w:tcBorders>
            <w:noWrap w:val="0"/>
            <w:vAlign w:val="center"/>
          </w:tcPr>
          <w:p w14:paraId="3E53EDD8">
            <w:pPr>
              <w:spacing w:line="360" w:lineRule="exact"/>
              <w:rPr>
                <w:rFonts w:ascii="宋体" w:hAnsi="宋体"/>
                <w:sz w:val="24"/>
              </w:rPr>
            </w:pPr>
          </w:p>
        </w:tc>
      </w:tr>
      <w:tr w14:paraId="17AB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60" w:type="dxa"/>
            <w:tcBorders>
              <w:top w:val="single" w:color="auto" w:sz="4" w:space="0"/>
              <w:left w:val="single" w:color="auto" w:sz="4" w:space="0"/>
              <w:bottom w:val="single" w:color="auto" w:sz="4" w:space="0"/>
              <w:right w:val="single" w:color="auto" w:sz="4" w:space="0"/>
            </w:tcBorders>
            <w:noWrap w:val="0"/>
            <w:vAlign w:val="center"/>
          </w:tcPr>
          <w:p w14:paraId="7DEA941F">
            <w:pPr>
              <w:spacing w:line="360" w:lineRule="exact"/>
              <w:rPr>
                <w:rFonts w:ascii="宋体" w:hAnsi="宋体"/>
                <w:sz w:val="24"/>
              </w:rPr>
            </w:pPr>
          </w:p>
        </w:tc>
        <w:tc>
          <w:tcPr>
            <w:tcW w:w="1704" w:type="dxa"/>
            <w:tcBorders>
              <w:top w:val="single" w:color="auto" w:sz="4" w:space="0"/>
              <w:left w:val="single" w:color="auto" w:sz="4" w:space="0"/>
              <w:bottom w:val="single" w:color="auto" w:sz="4" w:space="0"/>
              <w:right w:val="single" w:color="auto" w:sz="4" w:space="0"/>
            </w:tcBorders>
            <w:noWrap w:val="0"/>
            <w:vAlign w:val="center"/>
          </w:tcPr>
          <w:p w14:paraId="6C15CBCF">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567808E4">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0550F5A3">
            <w:pPr>
              <w:spacing w:line="360" w:lineRule="exact"/>
              <w:rPr>
                <w:rFonts w:ascii="宋体" w:hAnsi="宋体"/>
                <w:sz w:val="24"/>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BE648BC">
            <w:pPr>
              <w:spacing w:line="360" w:lineRule="exact"/>
              <w:rPr>
                <w:rFonts w:ascii="宋体" w:hAnsi="宋体"/>
                <w:sz w:val="24"/>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03290D50">
            <w:pPr>
              <w:spacing w:line="360" w:lineRule="exact"/>
              <w:rPr>
                <w:rFonts w:ascii="宋体" w:hAnsi="宋体"/>
                <w:sz w:val="24"/>
              </w:rPr>
            </w:pPr>
          </w:p>
        </w:tc>
        <w:tc>
          <w:tcPr>
            <w:tcW w:w="866" w:type="dxa"/>
            <w:tcBorders>
              <w:top w:val="single" w:color="auto" w:sz="4" w:space="0"/>
              <w:left w:val="single" w:color="auto" w:sz="4" w:space="0"/>
              <w:bottom w:val="single" w:color="auto" w:sz="4" w:space="0"/>
              <w:right w:val="single" w:color="auto" w:sz="4" w:space="0"/>
            </w:tcBorders>
            <w:noWrap w:val="0"/>
            <w:vAlign w:val="center"/>
          </w:tcPr>
          <w:p w14:paraId="4E7F4068">
            <w:pPr>
              <w:spacing w:line="360" w:lineRule="exact"/>
              <w:rPr>
                <w:rFonts w:ascii="宋体" w:hAnsi="宋体"/>
                <w:sz w:val="24"/>
              </w:rPr>
            </w:pPr>
          </w:p>
        </w:tc>
      </w:tr>
      <w:tr w14:paraId="3706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60" w:type="dxa"/>
            <w:tcBorders>
              <w:top w:val="single" w:color="auto" w:sz="4" w:space="0"/>
              <w:left w:val="single" w:color="auto" w:sz="4" w:space="0"/>
              <w:bottom w:val="single" w:color="auto" w:sz="4" w:space="0"/>
              <w:right w:val="single" w:color="auto" w:sz="4" w:space="0"/>
            </w:tcBorders>
            <w:noWrap w:val="0"/>
            <w:vAlign w:val="center"/>
          </w:tcPr>
          <w:p w14:paraId="57F17870">
            <w:pPr>
              <w:spacing w:line="360" w:lineRule="exact"/>
              <w:rPr>
                <w:rFonts w:ascii="宋体" w:hAnsi="宋体"/>
                <w:sz w:val="24"/>
              </w:rPr>
            </w:pPr>
          </w:p>
        </w:tc>
        <w:tc>
          <w:tcPr>
            <w:tcW w:w="1704" w:type="dxa"/>
            <w:tcBorders>
              <w:top w:val="single" w:color="auto" w:sz="4" w:space="0"/>
              <w:left w:val="single" w:color="auto" w:sz="4" w:space="0"/>
              <w:bottom w:val="single" w:color="auto" w:sz="4" w:space="0"/>
              <w:right w:val="single" w:color="auto" w:sz="4" w:space="0"/>
            </w:tcBorders>
            <w:noWrap w:val="0"/>
            <w:vAlign w:val="center"/>
          </w:tcPr>
          <w:p w14:paraId="6522D8D4">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54906CFD">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15D0A10B">
            <w:pPr>
              <w:spacing w:line="360" w:lineRule="exact"/>
              <w:rPr>
                <w:rFonts w:ascii="宋体" w:hAnsi="宋体"/>
                <w:sz w:val="24"/>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ED01B1F">
            <w:pPr>
              <w:spacing w:line="360" w:lineRule="exact"/>
              <w:rPr>
                <w:rFonts w:ascii="宋体" w:hAnsi="宋体"/>
                <w:sz w:val="24"/>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3F4715B4">
            <w:pPr>
              <w:spacing w:line="360" w:lineRule="exact"/>
              <w:rPr>
                <w:rFonts w:ascii="宋体" w:hAnsi="宋体"/>
                <w:sz w:val="24"/>
              </w:rPr>
            </w:pPr>
          </w:p>
        </w:tc>
        <w:tc>
          <w:tcPr>
            <w:tcW w:w="866" w:type="dxa"/>
            <w:tcBorders>
              <w:top w:val="single" w:color="auto" w:sz="4" w:space="0"/>
              <w:left w:val="single" w:color="auto" w:sz="4" w:space="0"/>
              <w:bottom w:val="single" w:color="auto" w:sz="4" w:space="0"/>
              <w:right w:val="single" w:color="auto" w:sz="4" w:space="0"/>
            </w:tcBorders>
            <w:noWrap w:val="0"/>
            <w:vAlign w:val="center"/>
          </w:tcPr>
          <w:p w14:paraId="1235CD8D">
            <w:pPr>
              <w:spacing w:line="360" w:lineRule="exact"/>
              <w:rPr>
                <w:rFonts w:ascii="宋体" w:hAnsi="宋体"/>
                <w:sz w:val="24"/>
              </w:rPr>
            </w:pPr>
          </w:p>
        </w:tc>
      </w:tr>
      <w:tr w14:paraId="5C52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4" w:hRule="atLeast"/>
        </w:trPr>
        <w:tc>
          <w:tcPr>
            <w:tcW w:w="12971" w:type="dxa"/>
            <w:gridSpan w:val="7"/>
            <w:tcBorders>
              <w:top w:val="single" w:color="auto" w:sz="4" w:space="0"/>
              <w:left w:val="single" w:color="auto" w:sz="4" w:space="0"/>
              <w:right w:val="single" w:color="auto" w:sz="4" w:space="0"/>
            </w:tcBorders>
            <w:noWrap w:val="0"/>
            <w:vAlign w:val="center"/>
          </w:tcPr>
          <w:p w14:paraId="7FB7E3E3">
            <w:pPr>
              <w:spacing w:before="94" w:beforeLines="30" w:after="94" w:afterLines="30" w:line="400" w:lineRule="exact"/>
              <w:rPr>
                <w:rFonts w:ascii="宋体" w:hAnsi="宋体"/>
                <w:sz w:val="24"/>
              </w:rPr>
            </w:pPr>
            <w:r>
              <w:rPr>
                <w:rFonts w:hint="eastAsia"/>
                <w:sz w:val="24"/>
              </w:rPr>
              <w:t>说明：</w:t>
            </w:r>
            <w:r>
              <w:rPr>
                <w:rFonts w:hint="eastAsia"/>
                <w:bCs/>
                <w:sz w:val="24"/>
              </w:rPr>
              <w:t>报价供应商应当对照采购内容明细中的要求，逐条如实填写所投服务（物资）的具体响应，注明无偏离、正偏离或负偏离，并在备注中注明偏离的具体内容。负偏离应当如实注明。本表中条款出现负偏离，视为无效响应。</w:t>
            </w:r>
          </w:p>
        </w:tc>
      </w:tr>
    </w:tbl>
    <w:p w14:paraId="382F91A1">
      <w:pPr>
        <w:pStyle w:val="2"/>
        <w:spacing w:after="0" w:line="560" w:lineRule="exact"/>
        <w:rPr>
          <w:sz w:val="28"/>
          <w:szCs w:val="28"/>
        </w:rPr>
      </w:pPr>
    </w:p>
    <w:p w14:paraId="519AB47B">
      <w:pPr>
        <w:spacing w:line="560" w:lineRule="exact"/>
        <w:ind w:firstLine="5320" w:firstLineChars="1900"/>
        <w:rPr>
          <w:rFonts w:ascii="宋体" w:hAnsi="宋体"/>
          <w:sz w:val="28"/>
          <w:szCs w:val="28"/>
          <w:lang w:val="zh-CN"/>
        </w:rPr>
      </w:pPr>
      <w:r>
        <w:rPr>
          <w:rFonts w:hint="eastAsia" w:ascii="宋体" w:hAnsi="宋体"/>
          <w:sz w:val="28"/>
          <w:szCs w:val="28"/>
          <w:lang w:val="zh-CN"/>
        </w:rPr>
        <w:t>报价供应商全称：（盖章）</w:t>
      </w:r>
    </w:p>
    <w:p w14:paraId="75935104">
      <w:pPr>
        <w:spacing w:line="560" w:lineRule="exact"/>
        <w:ind w:firstLine="5320" w:firstLineChars="1900"/>
        <w:jc w:val="left"/>
        <w:rPr>
          <w:rFonts w:ascii="宋体" w:hAnsi="宋体"/>
          <w:sz w:val="28"/>
          <w:szCs w:val="28"/>
          <w:lang w:val="zh-CN"/>
        </w:rPr>
      </w:pPr>
      <w:r>
        <w:rPr>
          <w:rFonts w:hint="eastAsia" w:ascii="宋体" w:hAnsi="宋体"/>
          <w:sz w:val="28"/>
          <w:szCs w:val="28"/>
          <w:lang w:val="zh-CN"/>
        </w:rPr>
        <w:t>法定代表人（或授权代表）：（签字）</w:t>
      </w:r>
    </w:p>
    <w:p w14:paraId="2B4FC9A9">
      <w:pPr>
        <w:ind w:firstLine="8960" w:firstLineChars="3200"/>
        <w:rPr>
          <w:rFonts w:hint="eastAsia" w:ascii="仿宋_GB2312" w:hAnsi="微软雅黑" w:eastAsia="仿宋_GB2312"/>
          <w:sz w:val="28"/>
          <w:szCs w:val="28"/>
        </w:rPr>
      </w:pPr>
      <w:r>
        <w:rPr>
          <w:rFonts w:ascii="宋体" w:hAnsi="宋体"/>
          <w:sz w:val="28"/>
          <w:szCs w:val="28"/>
          <w:u w:val="single"/>
        </w:rPr>
        <w:t xml:space="preserve">    </w:t>
      </w:r>
      <w:r>
        <w:rPr>
          <w:rFonts w:hint="eastAsia" w:ascii="宋体" w:hAnsi="宋体"/>
          <w:sz w:val="28"/>
          <w:szCs w:val="28"/>
        </w:rPr>
        <w:t>年</w:t>
      </w:r>
      <w:r>
        <w:rPr>
          <w:rFonts w:ascii="宋体" w:hAnsi="宋体"/>
          <w:sz w:val="28"/>
          <w:szCs w:val="28"/>
          <w:u w:val="single"/>
        </w:rPr>
        <w:t xml:space="preserve">   </w:t>
      </w:r>
      <w:r>
        <w:rPr>
          <w:rFonts w:hint="eastAsia" w:ascii="宋体" w:hAnsi="宋体"/>
          <w:sz w:val="28"/>
          <w:szCs w:val="28"/>
        </w:rPr>
        <w:t>月</w:t>
      </w:r>
      <w:r>
        <w:rPr>
          <w:rFonts w:ascii="宋体" w:hAnsi="宋体"/>
          <w:sz w:val="28"/>
          <w:szCs w:val="28"/>
          <w:u w:val="single"/>
        </w:rPr>
        <w:t xml:space="preserve">   </w:t>
      </w:r>
      <w:r>
        <w:rPr>
          <w:rFonts w:hint="eastAsia" w:ascii="宋体" w:hAnsi="宋体"/>
          <w:sz w:val="28"/>
          <w:szCs w:val="28"/>
        </w:rPr>
        <w:t>日</w:t>
      </w:r>
    </w:p>
    <w:p w14:paraId="3D8CF2B4">
      <w:bookmarkStart w:id="0" w:name="_GoBack"/>
      <w:bookmarkEnd w:id="0"/>
    </w:p>
    <w:sectPr>
      <w:pgSz w:w="16838" w:h="11906" w:orient="landscape"/>
      <w:pgMar w:top="1587" w:right="2098" w:bottom="1474" w:left="1985" w:header="851" w:footer="992" w:gutter="0"/>
      <w:pgNumType w:chapSep="emDash"/>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altName w:val="Arial Unicode MS"/>
    <w:panose1 w:val="02010601030101010101"/>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6F979">
    <w:pPr>
      <w:snapToGrid w:val="0"/>
      <w:rPr>
        <w:rFonts w:hint="eastAsia"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269B3">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89EBF">
    <w:pPr>
      <w:snapToGrid w:val="0"/>
      <w:rPr>
        <w:rFonts w:hint="eastAsia" w:ascii="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7CD1B">
    <w:pPr>
      <w:snapToGrid w:val="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E83E7E"/>
    <w:rsid w:val="40E83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w:basedOn w:val="1"/>
    <w:qFormat/>
    <w:uiPriority w:val="0"/>
    <w:pPr>
      <w:ind w:firstLine="656" w:firstLineChars="200"/>
    </w:pPr>
    <w:rPr>
      <w:rFonts w:ascii="仿宋_GB2312" w:hAnsi="宋体" w:eastAsia="仿宋_GB2312"/>
      <w:color w:val="000000"/>
      <w:spacing w:val="4"/>
      <w:sz w:val="32"/>
      <w:szCs w:val="32"/>
    </w:rPr>
  </w:style>
  <w:style w:type="paragraph" w:styleId="4">
    <w:name w:val="index 4"/>
    <w:basedOn w:val="1"/>
    <w:next w:val="1"/>
    <w:unhideWhenUsed/>
    <w:qFormat/>
    <w:uiPriority w:val="99"/>
    <w:pPr>
      <w:ind w:left="600" w:leftChars="600"/>
    </w:pPr>
    <w:rPr>
      <w:rFonts w:ascii="Verdana" w:hAnsi="Verdana"/>
      <w:szCs w:val="20"/>
    </w:rPr>
  </w:style>
  <w:style w:type="paragraph" w:styleId="5">
    <w:name w:val="Body Text Indent 2"/>
    <w:basedOn w:val="1"/>
    <w:qFormat/>
    <w:uiPriority w:val="0"/>
    <w:pPr>
      <w:spacing w:after="120" w:line="480" w:lineRule="auto"/>
      <w:ind w:left="420" w:leftChars="200"/>
    </w:pPr>
  </w:style>
  <w:style w:type="paragraph" w:styleId="6">
    <w:name w:val="footer"/>
    <w:basedOn w:val="1"/>
    <w:uiPriority w:val="0"/>
    <w:pPr>
      <w:tabs>
        <w:tab w:val="center" w:pos="4153"/>
        <w:tab w:val="right" w:pos="8306"/>
      </w:tabs>
      <w:snapToGrid w:val="0"/>
      <w:jc w:val="left"/>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rPr>
  </w:style>
  <w:style w:type="paragraph" w:styleId="8">
    <w:name w:val="Body Text First Indent 2"/>
    <w:basedOn w:val="3"/>
    <w:uiPriority w:val="0"/>
    <w:pPr>
      <w:spacing w:after="120"/>
      <w:ind w:left="420" w:leftChars="200" w:firstLine="420"/>
    </w:pPr>
    <w:rPr>
      <w:rFonts w:ascii="Times New Roman" w:hAnsi="Times New Roman" w:eastAsia="宋体"/>
      <w:color w:val="auto"/>
      <w:spacing w:val="0"/>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2026-08-27T08:53:00Z</dcterms:created>
  <dc:creator>许天罡</dc:creator>
  <cp:lastModifiedBy>许天罡</cp:lastModifiedBy>
  <dcterms:modified xsi:type="dcterms:W3CDTF">2026-08-27T08:54:03Z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625DD56B1612489386314B42F1EDC6AA_11</vt:lpwstr>
  </property>
  <property fmtid="{D5CDD505-2E9C-101B-9397-08002B2CF9AE}" pid="4" name="KSOTemplateDocerSaveRecord">
    <vt:lpwstr>eyJoZGlkIjoiMjgyNWFlMmJhMmE2MDkzMDhiZWI4ODA1OGU2N2NjZDMiLCJ1c2VySWQiOiIzMzQwMDQ3NDIifQ==</vt:lpwstr>
  </property>
</Properties>
</file>