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D23DE">
      <w:pPr>
        <w:rPr>
          <w:rFonts w:hint="eastAsia"/>
          <w:sz w:val="36"/>
          <w:szCs w:val="36"/>
        </w:rPr>
      </w:pPr>
    </w:p>
    <w:p w14:paraId="43485F22">
      <w:pPr>
        <w:jc w:val="center"/>
        <w:rPr>
          <w:sz w:val="36"/>
          <w:szCs w:val="36"/>
        </w:rPr>
      </w:pPr>
    </w:p>
    <w:p w14:paraId="37C99326">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47797C86">
      <w:pPr>
        <w:jc w:val="center"/>
        <w:rPr>
          <w:rFonts w:hint="eastAsia" w:eastAsia="华文中宋"/>
          <w:sz w:val="36"/>
          <w:szCs w:val="36"/>
        </w:rPr>
      </w:pPr>
    </w:p>
    <w:p w14:paraId="7C546E49">
      <w:pPr>
        <w:jc w:val="center"/>
        <w:rPr>
          <w:rFonts w:hint="eastAsia" w:eastAsia="华文中宋"/>
          <w:sz w:val="36"/>
          <w:szCs w:val="36"/>
        </w:rPr>
      </w:pPr>
    </w:p>
    <w:p w14:paraId="4B051116">
      <w:pPr>
        <w:jc w:val="center"/>
        <w:rPr>
          <w:rFonts w:hint="eastAsia" w:eastAsia="华文中宋"/>
          <w:sz w:val="36"/>
          <w:szCs w:val="36"/>
        </w:rPr>
      </w:pPr>
    </w:p>
    <w:p w14:paraId="26F92046">
      <w:pPr>
        <w:ind w:left="762" w:leftChars="363" w:firstLine="960" w:firstLineChars="300"/>
        <w:rPr>
          <w:rFonts w:ascii="微软雅黑" w:hAnsi="微软雅黑" w:eastAsia="微软雅黑"/>
          <w:bCs/>
          <w:color w:val="000000"/>
          <w:sz w:val="32"/>
          <w:szCs w:val="32"/>
        </w:rPr>
      </w:pPr>
    </w:p>
    <w:tbl>
      <w:tblPr>
        <w:tblStyle w:val="9"/>
        <w:tblW w:w="0" w:type="auto"/>
        <w:jc w:val="center"/>
        <w:tblLayout w:type="fixed"/>
        <w:tblCellMar>
          <w:top w:w="0" w:type="dxa"/>
          <w:left w:w="108" w:type="dxa"/>
          <w:bottom w:w="0" w:type="dxa"/>
          <w:right w:w="108" w:type="dxa"/>
        </w:tblCellMar>
      </w:tblPr>
      <w:tblGrid>
        <w:gridCol w:w="1883"/>
        <w:gridCol w:w="6106"/>
      </w:tblGrid>
      <w:tr w14:paraId="439B3C3A">
        <w:tblPrEx>
          <w:tblCellMar>
            <w:top w:w="0" w:type="dxa"/>
            <w:left w:w="108" w:type="dxa"/>
            <w:bottom w:w="0" w:type="dxa"/>
            <w:right w:w="108" w:type="dxa"/>
          </w:tblCellMar>
        </w:tblPrEx>
        <w:trPr>
          <w:jc w:val="center"/>
        </w:trPr>
        <w:tc>
          <w:tcPr>
            <w:tcW w:w="1883" w:type="dxa"/>
            <w:noWrap w:val="0"/>
            <w:vAlign w:val="top"/>
          </w:tcPr>
          <w:p w14:paraId="4554E2D5">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6106" w:type="dxa"/>
            <w:noWrap w:val="0"/>
            <w:vAlign w:val="top"/>
          </w:tcPr>
          <w:p w14:paraId="455A08BB">
            <w:pPr>
              <w:widowControl/>
              <w:shd w:val="clear" w:color="auto" w:fill="FFFFFF"/>
              <w:spacing w:line="555" w:lineRule="atLeast"/>
              <w:jc w:val="left"/>
              <w:rPr>
                <w:rFonts w:hint="eastAsia" w:ascii="黑体" w:hAnsi="黑体" w:eastAsia="微软雅黑"/>
                <w:sz w:val="28"/>
                <w:szCs w:val="28"/>
                <w:lang w:eastAsia="zh-CN"/>
              </w:rPr>
            </w:pPr>
            <w:r>
              <w:rPr>
                <w:rFonts w:hint="eastAsia" w:ascii="微软雅黑" w:hAnsi="微软雅黑" w:eastAsia="微软雅黑"/>
                <w:bCs/>
                <w:color w:val="000000"/>
                <w:sz w:val="32"/>
                <w:szCs w:val="32"/>
              </w:rPr>
              <w:t>某单位广播系统</w:t>
            </w:r>
            <w:r>
              <w:rPr>
                <w:rFonts w:hint="eastAsia" w:ascii="微软雅黑" w:hAnsi="微软雅黑" w:eastAsia="微软雅黑"/>
                <w:bCs/>
                <w:color w:val="000000"/>
                <w:sz w:val="32"/>
                <w:szCs w:val="32"/>
                <w:lang w:eastAsia="zh-CN"/>
              </w:rPr>
              <w:t>（</w:t>
            </w:r>
            <w:r>
              <w:rPr>
                <w:rFonts w:hint="eastAsia" w:ascii="微软雅黑" w:hAnsi="微软雅黑" w:eastAsia="微软雅黑"/>
                <w:bCs/>
                <w:color w:val="000000"/>
                <w:sz w:val="32"/>
                <w:szCs w:val="32"/>
                <w:lang w:val="en-US" w:eastAsia="zh-CN"/>
              </w:rPr>
              <w:t>第二次</w:t>
            </w:r>
            <w:r>
              <w:rPr>
                <w:rFonts w:hint="eastAsia" w:ascii="微软雅黑" w:hAnsi="微软雅黑" w:eastAsia="微软雅黑"/>
                <w:bCs/>
                <w:color w:val="000000"/>
                <w:sz w:val="32"/>
                <w:szCs w:val="32"/>
                <w:lang w:eastAsia="zh-CN"/>
              </w:rPr>
              <w:t>）</w:t>
            </w:r>
          </w:p>
        </w:tc>
      </w:tr>
      <w:tr w14:paraId="0A306AAD">
        <w:tblPrEx>
          <w:tblCellMar>
            <w:top w:w="0" w:type="dxa"/>
            <w:left w:w="108" w:type="dxa"/>
            <w:bottom w:w="0" w:type="dxa"/>
            <w:right w:w="108" w:type="dxa"/>
          </w:tblCellMar>
        </w:tblPrEx>
        <w:trPr>
          <w:jc w:val="center"/>
        </w:trPr>
        <w:tc>
          <w:tcPr>
            <w:tcW w:w="1883" w:type="dxa"/>
            <w:noWrap w:val="0"/>
            <w:vAlign w:val="top"/>
          </w:tcPr>
          <w:p w14:paraId="48DB8938">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6106" w:type="dxa"/>
            <w:noWrap w:val="0"/>
            <w:vAlign w:val="top"/>
          </w:tcPr>
          <w:p w14:paraId="25A112CE">
            <w:pPr>
              <w:widowControl/>
              <w:shd w:val="clear" w:color="auto" w:fill="FFFFFF"/>
              <w:spacing w:line="555" w:lineRule="atLeast"/>
              <w:jc w:val="left"/>
              <w:rPr>
                <w:rFonts w:ascii="微软雅黑" w:hAnsi="微软雅黑" w:eastAsia="黑体"/>
                <w:bCs/>
                <w:color w:val="000000"/>
                <w:sz w:val="32"/>
                <w:szCs w:val="32"/>
              </w:rPr>
            </w:pPr>
            <w:r>
              <w:rPr>
                <w:rFonts w:hint="eastAsia" w:ascii="微软雅黑" w:hAnsi="微软雅黑" w:eastAsia="微软雅黑"/>
                <w:bCs/>
                <w:color w:val="000000"/>
                <w:sz w:val="32"/>
                <w:szCs w:val="32"/>
              </w:rPr>
              <w:t>2026-YKGJGXFWBZ-W9003</w:t>
            </w:r>
          </w:p>
        </w:tc>
      </w:tr>
    </w:tbl>
    <w:p w14:paraId="34F4CCE3">
      <w:pPr>
        <w:jc w:val="center"/>
        <w:rPr>
          <w:rFonts w:hint="eastAsia" w:eastAsia="华文中宋"/>
          <w:sz w:val="36"/>
          <w:szCs w:val="36"/>
        </w:rPr>
      </w:pPr>
    </w:p>
    <w:p w14:paraId="105C3298">
      <w:pPr>
        <w:jc w:val="center"/>
        <w:rPr>
          <w:rFonts w:hint="eastAsia" w:eastAsia="华文中宋"/>
          <w:sz w:val="36"/>
          <w:szCs w:val="36"/>
        </w:rPr>
      </w:pPr>
    </w:p>
    <w:p w14:paraId="4A01F818">
      <w:pPr>
        <w:jc w:val="center"/>
        <w:rPr>
          <w:rFonts w:hint="eastAsia" w:eastAsia="华文中宋"/>
          <w:sz w:val="36"/>
          <w:szCs w:val="36"/>
        </w:rPr>
      </w:pPr>
    </w:p>
    <w:p w14:paraId="04A6CCEB">
      <w:pPr>
        <w:jc w:val="center"/>
        <w:rPr>
          <w:rFonts w:hint="eastAsia" w:eastAsia="华文中宋"/>
          <w:sz w:val="36"/>
          <w:szCs w:val="36"/>
        </w:rPr>
      </w:pPr>
    </w:p>
    <w:p w14:paraId="25DCD01F">
      <w:pPr>
        <w:jc w:val="center"/>
        <w:rPr>
          <w:rFonts w:hint="eastAsia" w:eastAsia="华文中宋"/>
          <w:sz w:val="36"/>
          <w:szCs w:val="36"/>
        </w:rPr>
      </w:pPr>
    </w:p>
    <w:p w14:paraId="614DB4F8">
      <w:pPr>
        <w:spacing w:line="560" w:lineRule="exact"/>
        <w:jc w:val="center"/>
        <w:rPr>
          <w:rFonts w:hint="eastAsia" w:eastAsia="黑体"/>
          <w:sz w:val="28"/>
          <w:szCs w:val="28"/>
        </w:rPr>
      </w:pPr>
      <w:r>
        <w:rPr>
          <w:rFonts w:hint="eastAsia" w:eastAsia="黑体"/>
          <w:sz w:val="28"/>
          <w:szCs w:val="28"/>
        </w:rPr>
        <w:t>某单位</w:t>
      </w:r>
    </w:p>
    <w:p w14:paraId="5A27F331">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09FCCB80">
      <w:pPr>
        <w:jc w:val="center"/>
        <w:rPr>
          <w:rFonts w:hint="eastAsia" w:ascii="黑体" w:hAnsi="黑体" w:eastAsia="黑体" w:cs="黑体"/>
          <w:sz w:val="32"/>
          <w:szCs w:val="32"/>
        </w:rPr>
      </w:pPr>
      <w:r>
        <w:rPr>
          <w:rFonts w:hint="eastAsia" w:ascii="黑体" w:hAnsi="黑体" w:eastAsia="黑体" w:cs="黑体"/>
          <w:sz w:val="32"/>
          <w:szCs w:val="32"/>
        </w:rPr>
        <w:t>采购内容明细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477"/>
        <w:gridCol w:w="7255"/>
        <w:gridCol w:w="992"/>
        <w:gridCol w:w="1134"/>
        <w:gridCol w:w="1446"/>
      </w:tblGrid>
      <w:tr w14:paraId="0563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32" w:type="dxa"/>
            <w:noWrap w:val="0"/>
            <w:vAlign w:val="center"/>
          </w:tcPr>
          <w:p w14:paraId="74AA470E">
            <w:pPr>
              <w:widowControl/>
              <w:jc w:val="center"/>
              <w:rPr>
                <w:rFonts w:hint="eastAsia" w:ascii="Times New Roman" w:hAnsi="Times New Roman" w:eastAsia="黑体"/>
                <w:kern w:val="0"/>
                <w:szCs w:val="21"/>
              </w:rPr>
            </w:pPr>
            <w:r>
              <w:rPr>
                <w:rFonts w:hint="eastAsia" w:ascii="Times New Roman" w:hAnsi="Times New Roman" w:eastAsia="黑体"/>
                <w:kern w:val="0"/>
                <w:szCs w:val="21"/>
              </w:rPr>
              <w:t>序号</w:t>
            </w:r>
          </w:p>
        </w:tc>
        <w:tc>
          <w:tcPr>
            <w:tcW w:w="1477" w:type="dxa"/>
            <w:noWrap w:val="0"/>
            <w:vAlign w:val="center"/>
          </w:tcPr>
          <w:p w14:paraId="4970F705">
            <w:pPr>
              <w:widowControl/>
              <w:jc w:val="center"/>
              <w:rPr>
                <w:rFonts w:hint="eastAsia" w:ascii="Times New Roman" w:hAnsi="Times New Roman" w:eastAsia="黑体"/>
                <w:kern w:val="0"/>
                <w:szCs w:val="21"/>
              </w:rPr>
            </w:pPr>
            <w:r>
              <w:rPr>
                <w:rFonts w:hint="eastAsia" w:ascii="Times New Roman" w:hAnsi="Times New Roman" w:eastAsia="黑体"/>
                <w:kern w:val="0"/>
                <w:szCs w:val="21"/>
              </w:rPr>
              <w:t>名称</w:t>
            </w:r>
          </w:p>
        </w:tc>
        <w:tc>
          <w:tcPr>
            <w:tcW w:w="7255" w:type="dxa"/>
            <w:noWrap w:val="0"/>
            <w:vAlign w:val="center"/>
          </w:tcPr>
          <w:p w14:paraId="7E5BEE99">
            <w:pPr>
              <w:widowControl/>
              <w:spacing w:before="94" w:beforeLines="30" w:after="94" w:afterLines="30" w:line="312" w:lineRule="auto"/>
              <w:jc w:val="center"/>
              <w:rPr>
                <w:rFonts w:hint="eastAsia" w:ascii="Times New Roman" w:hAnsi="Times New Roman" w:eastAsia="黑体"/>
                <w:kern w:val="0"/>
                <w:szCs w:val="21"/>
              </w:rPr>
            </w:pPr>
            <w:r>
              <w:rPr>
                <w:rFonts w:hint="eastAsia" w:ascii="Times New Roman" w:hAnsi="Times New Roman" w:eastAsia="黑体"/>
                <w:kern w:val="0"/>
                <w:szCs w:val="21"/>
              </w:rPr>
              <w:t>具体参数</w:t>
            </w:r>
          </w:p>
        </w:tc>
        <w:tc>
          <w:tcPr>
            <w:tcW w:w="992" w:type="dxa"/>
            <w:noWrap w:val="0"/>
            <w:vAlign w:val="center"/>
          </w:tcPr>
          <w:p w14:paraId="34FADF9D">
            <w:pPr>
              <w:widowControl/>
              <w:jc w:val="center"/>
              <w:rPr>
                <w:rFonts w:hint="eastAsia" w:ascii="Times New Roman" w:hAnsi="Times New Roman" w:eastAsia="黑体"/>
                <w:color w:val="000000"/>
                <w:kern w:val="0"/>
                <w:szCs w:val="21"/>
              </w:rPr>
            </w:pPr>
            <w:r>
              <w:rPr>
                <w:rFonts w:hint="eastAsia" w:ascii="Times New Roman" w:hAnsi="Times New Roman" w:eastAsia="黑体"/>
                <w:color w:val="000000"/>
                <w:kern w:val="0"/>
                <w:szCs w:val="21"/>
              </w:rPr>
              <w:t>数量</w:t>
            </w:r>
          </w:p>
        </w:tc>
        <w:tc>
          <w:tcPr>
            <w:tcW w:w="1134" w:type="dxa"/>
            <w:noWrap w:val="0"/>
            <w:vAlign w:val="center"/>
          </w:tcPr>
          <w:p w14:paraId="6779AC7E">
            <w:pPr>
              <w:widowControl/>
              <w:jc w:val="center"/>
              <w:rPr>
                <w:rFonts w:hint="eastAsia" w:ascii="Times New Roman" w:hAnsi="Times New Roman" w:eastAsia="黑体"/>
                <w:color w:val="000000"/>
                <w:kern w:val="0"/>
                <w:szCs w:val="21"/>
              </w:rPr>
            </w:pPr>
            <w:r>
              <w:rPr>
                <w:rFonts w:hint="eastAsia" w:ascii="Times New Roman" w:hAnsi="Times New Roman" w:eastAsia="黑体"/>
                <w:color w:val="000000"/>
                <w:kern w:val="0"/>
                <w:szCs w:val="21"/>
              </w:rPr>
              <w:t>单位</w:t>
            </w:r>
          </w:p>
        </w:tc>
        <w:tc>
          <w:tcPr>
            <w:tcW w:w="1446" w:type="dxa"/>
            <w:noWrap w:val="0"/>
            <w:vAlign w:val="center"/>
          </w:tcPr>
          <w:p w14:paraId="76D4C37C">
            <w:pPr>
              <w:widowControl/>
              <w:jc w:val="center"/>
              <w:rPr>
                <w:rFonts w:hint="eastAsia" w:ascii="Times New Roman" w:hAnsi="Times New Roman" w:eastAsia="黑体"/>
                <w:color w:val="000000"/>
                <w:kern w:val="0"/>
                <w:szCs w:val="21"/>
              </w:rPr>
            </w:pPr>
            <w:r>
              <w:rPr>
                <w:rFonts w:hint="eastAsia" w:ascii="Times New Roman" w:hAnsi="Times New Roman" w:eastAsia="黑体"/>
                <w:color w:val="000000"/>
                <w:kern w:val="0"/>
                <w:szCs w:val="21"/>
              </w:rPr>
              <w:t>推荐品牌</w:t>
            </w:r>
          </w:p>
        </w:tc>
      </w:tr>
      <w:tr w14:paraId="0B4E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677F137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477" w:type="dxa"/>
            <w:noWrap w:val="0"/>
            <w:vAlign w:val="center"/>
          </w:tcPr>
          <w:p w14:paraId="5C0B7C1C">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智慧广播软件</w:t>
            </w:r>
          </w:p>
        </w:tc>
        <w:tc>
          <w:tcPr>
            <w:tcW w:w="7255" w:type="dxa"/>
            <w:noWrap w:val="0"/>
            <w:vAlign w:val="center"/>
          </w:tcPr>
          <w:p w14:paraId="4F38F3C9">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1.智慧广播软件需结合TCP/UDP技术和数字音频技术，需采用B/S架构。</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2.需支持多操作系统，包括Windows</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Linux</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国产麒麟操作系统，兼容性与安全性更高，支持多级管理与系统级无限扩展。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3.需支持多种部署方式，包括公有云，私有云，以及专网部署。</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4.需具备定时打铃：支持多套定时打铃方案，方案内可编制任意数量的打铃任务，支持一键复制/禁用/启用方案或任务，实现全自动无人值守校园铃声播报，满足各时间段多场景播报需求。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5.需具备实时广播：可对任意单点、分组或全区执行实时音频/文本，实时采播，一键寻呼喊话任务，高同步性和实时性，最多支持≥50路广播并发。</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6.需具备定时广播：服务器根据编制好的任务定时、定点自动播出，支持定时音频/文本/采播广播，可批量创建多时段定时任务，支持一键启用/禁用，高可控性和智慧化。</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7.需具备短路联动：支持全区分区消防联动，短路输入输出端口联动自由配置，自动化的安全机制，可远程控制设备强切输出，包括短路输出和广播播放。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8.需具备实况监听：可对广播内容进行实时监听，也可实时循环监听终端周围环境声音实况，不影响广播节目播放。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9.需具备文字转语音：内置嵌入式TTS语音引擎支持TTS文字转语音广播，可提供不同人声、语速等个性化定制服务，支持导入TXT文本。</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10.需具备考试模式：支持考试模式，网络与定压备份无缝切换，满足考场高可靠性、冗余性要求。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11.需具备节目离线播放：可通过网络远程推送定时广播内容至任务覆盖的终端，实现终端离线自动播放功能。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12.需支持多操作系统，包括Windows，Linux，国产麒麟操作系统，兼容性与安全性更高，支持多级管理与系统级无限扩展。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13.需支持多种部署方式，包括公有云，私有云，以及专网部署。</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14.需支持在全国产服务器上的文转语，文本广播功能，无需配置额外的设备。</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15.需具备首页快捷功能：首页可自定义添加常用功能，一键快速创建广播任务。</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16.需具备可视化数据统计：可视化图表展示任务分类和任务数据统计，支持系统任务列表查看和详情页查看，任务信息一目了然。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17.需具备系统日志：系统支持日志查询和导出，用户日志，系统日志，设备日志，任务日志灵活查看。</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18.需具备系统备份：用户可选择自动，手动，或者上传备份文件进行系统备份。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19.需具备优先级设置：智能管控和设置不同任务类型优先级，可按需灵活设置，系统智能检测任务优先级冲突。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20.需具备预设电源控制：通过软件预设终端自带电源提前打开，双重保障任务在终端播放成功。</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21.需具备自由点播：通过智能语音播控台，实现系统服务器媒体库中节目的任意点播。</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22.需具备媒体库管理智慧媒体库可存储数千小时以上的音乐或语音节目，为所有音频终端提供定时播放和实时点播媒体服务，支持音频共享、试听、下载。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23.需具备设备管理：支持Web模式远程登录管理控制所有设备，支持远程升级设备；支持将设备添加至设备地图，可视化管控设备，地图上划定范围快速发起广播。</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24.需具备分组管理：支持设备在线分组设置，通过Web页面后台或分控客户端均可轻松进行设备分组管理。</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25.需具备用户管理：系统可设置管理员，高级用户，普通用户多种角色，可按需自定义角色操作权限，提供不同的操作界面，人性化管理不同用户需求。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26.需具备分控账号管理：支持同一账号实现终端与广播系统平台同步登录，数据自动同步，支持多台设备同时登录，支持分控账号管理远程节目播放管理。</w:t>
            </w:r>
          </w:p>
        </w:tc>
        <w:tc>
          <w:tcPr>
            <w:tcW w:w="992" w:type="dxa"/>
            <w:noWrap w:val="0"/>
            <w:vAlign w:val="center"/>
          </w:tcPr>
          <w:p w14:paraId="37469973">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117025E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套</w:t>
            </w:r>
          </w:p>
        </w:tc>
        <w:tc>
          <w:tcPr>
            <w:tcW w:w="1446" w:type="dxa"/>
            <w:noWrap w:val="0"/>
            <w:vAlign w:val="center"/>
          </w:tcPr>
          <w:p w14:paraId="1EBC6555">
            <w:pPr>
              <w:widowControl/>
              <w:jc w:val="both"/>
              <w:rPr>
                <w:rFonts w:hint="eastAsia" w:ascii="Times New Roman" w:hAnsi="Times New Roman" w:eastAsia="仿宋_GB2312"/>
                <w:color w:val="000000"/>
                <w:kern w:val="0"/>
                <w:szCs w:val="21"/>
                <w:lang w:val="en-US" w:eastAsia="zh-CN"/>
              </w:rPr>
            </w:pPr>
            <w:r>
              <w:rPr>
                <w:rFonts w:hint="eastAsia" w:ascii="Times New Roman" w:hAnsi="Times New Roman" w:eastAsia="仿宋_GB2312"/>
                <w:color w:val="000000"/>
                <w:kern w:val="0"/>
                <w:szCs w:val="21"/>
              </w:rPr>
              <w:t>TAIDEN、ITC、迪士普</w:t>
            </w:r>
          </w:p>
        </w:tc>
      </w:tr>
      <w:tr w14:paraId="4ABD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15ED1A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2</w:t>
            </w:r>
          </w:p>
        </w:tc>
        <w:tc>
          <w:tcPr>
            <w:tcW w:w="1477" w:type="dxa"/>
            <w:noWrap w:val="0"/>
            <w:vAlign w:val="center"/>
          </w:tcPr>
          <w:p w14:paraId="73EDCD0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播放机</w:t>
            </w:r>
          </w:p>
        </w:tc>
        <w:tc>
          <w:tcPr>
            <w:tcW w:w="7255" w:type="dxa"/>
            <w:noWrap w:val="0"/>
            <w:vAlign w:val="center"/>
          </w:tcPr>
          <w:p w14:paraId="2EA238BD">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1.采用双解码双显示屏设计，MP3、CD独立解码工作，音源运行互不干扰。</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2.光碟兼MPEG</w:t>
            </w:r>
            <w:r>
              <w:rPr>
                <w:rFonts w:hint="eastAsia" w:ascii="Times New Roman" w:hAnsi="Times New Roman" w:eastAsia="仿宋_GB2312"/>
                <w:kern w:val="0"/>
                <w:szCs w:val="21"/>
                <w:lang w:val="en-US" w:eastAsia="zh-CN"/>
              </w:rPr>
              <w:t>-</w:t>
            </w:r>
            <w:r>
              <w:rPr>
                <w:rFonts w:hint="eastAsia" w:ascii="Times New Roman" w:hAnsi="Times New Roman" w:eastAsia="仿宋_GB2312"/>
                <w:kern w:val="0"/>
                <w:szCs w:val="21"/>
              </w:rPr>
              <w:t>4/DVD/SVCD/VCD/CD/MP3/WAVE/WMA/CDR-RW播放格式。</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3.模拟音频输出 ：-10dB, 非平衡立体声, 1路混音输出，1路光盘输出，1路USB播放输出（提供实物图并对相关接口进行说明）</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4.视频输出：复合视频输出。</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5.支持USB文件夹播放、多模式循环播放、通电自动播放+断电记忆播放，光盘支持逐行/隔行扫描切换。</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6.音频解码AC-3、DTS、HDCD，视频制式兼容NTSC、PAL、PAL60，面板自带操作按键，标配全功能遥控器。</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7.性能指标：频率响应20Hz～20kHz，信噪比＞80dB，总谐波失真＜0.1%，整机功耗＜10W，输入电压220</w:t>
            </w:r>
            <w:r>
              <w:rPr>
                <w:rFonts w:hint="eastAsia" w:ascii="Times New Roman" w:hAnsi="Times New Roman" w:eastAsia="微软雅黑"/>
                <w:kern w:val="0"/>
                <w:szCs w:val="21"/>
              </w:rPr>
              <w:t>–</w:t>
            </w:r>
            <w:r>
              <w:rPr>
                <w:rFonts w:hint="eastAsia" w:ascii="Times New Roman" w:hAnsi="Times New Roman" w:eastAsia="仿宋_GB2312"/>
                <w:kern w:val="0"/>
                <w:szCs w:val="21"/>
              </w:rPr>
              <w:t>240VAC。</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8.标准2U机架式设备，适配0℃-40℃、湿度≤95%室内机房环境使用。</w:t>
            </w:r>
          </w:p>
        </w:tc>
        <w:tc>
          <w:tcPr>
            <w:tcW w:w="992" w:type="dxa"/>
            <w:noWrap w:val="0"/>
            <w:vAlign w:val="center"/>
          </w:tcPr>
          <w:p w14:paraId="10532B0F">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3D545819">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02936B6D">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r w14:paraId="2CEE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939C13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3</w:t>
            </w:r>
          </w:p>
        </w:tc>
        <w:tc>
          <w:tcPr>
            <w:tcW w:w="1477" w:type="dxa"/>
            <w:noWrap w:val="0"/>
            <w:vAlign w:val="center"/>
          </w:tcPr>
          <w:p w14:paraId="7A9D90B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IP编码器</w:t>
            </w:r>
          </w:p>
        </w:tc>
        <w:tc>
          <w:tcPr>
            <w:tcW w:w="7255" w:type="dxa"/>
            <w:noWrap w:val="0"/>
            <w:vAlign w:val="center"/>
          </w:tcPr>
          <w:p w14:paraId="5680AD74">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1.标准机柜式≤1U高度。</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2.需内置音频采集编码模块，可将模拟音频可采集到IP网络广播系统任意终端，音频采集延时≤100ms。</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3.≥3路线路（LINE）和≥3路（MIC）输入，每个通道独立音量大小调节功能，带总音量调节旋钮。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4.需内置MP3播放器，带蓝牙音乐播放，面板自带功能按键，功能键包括上-曲、下一曲、播放/暂停。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5.≥11个快捷键，可自定义给终端播放背景音乐，操作快捷方便，一键把背景音乐播放到指定的终端或分区。</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6.支持硬件音频解码，采样音频硬件编码、固件支持网络升级、多路信源混音等。</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7.≥1路短路信号输入，可接入联动触发信号，有紧急情况时可触发终端报警。</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8.≥1路短路信号输出，紧急情况时可联动触发其它设备。</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9.需内置监听喇叭，可监听播放的任务内容。带一个监听音量控制旋钮，声音大小可调节。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10.需带复位按钮，支持一键恢复出厂设置，方便工程项目现场调试。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11.≥1路调试口，方便日常对该终端程序调试升级。</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12.支持串口扩展，≥1路RS232串行输入输出接口，可与外部音源设备通讯。</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13.≥2路电源输出控制，根据广播状态自动控制外接设备的电源开与关。</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14.需支持DHCP，兼容路由器、交换机、网桥网关、Modem、Intelnet.2G、3G、4G、组播、单播等任意网络结构。</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15.需采用固定静态的IP地址，当网络发生改变时地址不会丢失，工作稳定。</w:t>
            </w:r>
          </w:p>
        </w:tc>
        <w:tc>
          <w:tcPr>
            <w:tcW w:w="992" w:type="dxa"/>
            <w:noWrap w:val="0"/>
            <w:vAlign w:val="center"/>
          </w:tcPr>
          <w:p w14:paraId="2C265D2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584A7BF8">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47C0BEFB">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19F1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7994CE6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4</w:t>
            </w:r>
          </w:p>
        </w:tc>
        <w:tc>
          <w:tcPr>
            <w:tcW w:w="1477" w:type="dxa"/>
            <w:noWrap w:val="0"/>
            <w:vAlign w:val="center"/>
          </w:tcPr>
          <w:p w14:paraId="1FE3C4B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功率放大器</w:t>
            </w:r>
          </w:p>
        </w:tc>
        <w:tc>
          <w:tcPr>
            <w:tcW w:w="7255" w:type="dxa"/>
            <w:noWrap w:val="0"/>
            <w:vAlign w:val="center"/>
          </w:tcPr>
          <w:p w14:paraId="26492967">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1.标准1机架式≤2U高度。</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2.需具备固定静态的IP地址，工作稳定，网络发生改变时地址不会丢失。</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3.内置≥1路网络硬件音频解码模块，支持TCP/IP、UDP、IGMP(组播)。</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4.≥3路MIC输入，≥1路AUX输入，≥1路AUX输出，MIC1具有强插默音功能。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5.需具备数字音频多功能分区组合、全区广播功能。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6.需具备报警信号优先，自动强插，带24V强切功能、2位凤凰端子。</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7.需具备智能电源管理，无音乐或呼叫时，设备自动切断主电源，进入待机状态。</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8.待机功率小于3W，满足国家节能认证的标准。</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9.需具备AUX、MIC及网络音源，具有独立的音量和高低音调节。</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10.≥1组音频信号输出，可外接功率放大器或有源音箱。</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11.≥5位LED灯显示电平，功放电源接通指示灯，保护指示灯，整机电源指示灯。</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12.需具备温度风机冷却功能。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13.内置≥280W功率放大器，可外接定阻（4-16Ω）及定压（70V、100V）功率输出。</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14.需具备保护电路：直流输出、过载、过温、短警保护电路。</w:t>
            </w:r>
          </w:p>
        </w:tc>
        <w:tc>
          <w:tcPr>
            <w:tcW w:w="992" w:type="dxa"/>
            <w:noWrap w:val="0"/>
            <w:vAlign w:val="center"/>
          </w:tcPr>
          <w:p w14:paraId="1A47E029">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5</w:t>
            </w:r>
          </w:p>
        </w:tc>
        <w:tc>
          <w:tcPr>
            <w:tcW w:w="1134" w:type="dxa"/>
            <w:noWrap w:val="0"/>
            <w:vAlign w:val="center"/>
          </w:tcPr>
          <w:p w14:paraId="23B3AE23">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4932360C">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5525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7DD1140C">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5</w:t>
            </w:r>
          </w:p>
        </w:tc>
        <w:tc>
          <w:tcPr>
            <w:tcW w:w="1477" w:type="dxa"/>
            <w:noWrap w:val="0"/>
            <w:vAlign w:val="center"/>
          </w:tcPr>
          <w:p w14:paraId="7D000E8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数字调谐器</w:t>
            </w:r>
          </w:p>
        </w:tc>
        <w:tc>
          <w:tcPr>
            <w:tcW w:w="7255" w:type="dxa"/>
            <w:noWrap w:val="0"/>
            <w:vAlign w:val="center"/>
          </w:tcPr>
          <w:p w14:paraId="77F77AC3">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1.一体化多功能机型，内置FM调谐器、蓝牙4.2模块、USB播放、独立录音四大功能，支持模式一键切换（FM/USB/蓝牙/录音）。</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2.机身配置7位数码LED状态显示屏，面板搭载12枚功能按键+1枚独立录音按键，面板及遥控器均配备待机按键，标配全功能遥控器。</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3.天线配置双路独立天线，1路外置FM专用天线、1路蓝牙隐藏式天线，蓝牙接收距离≥10米，FM频段87.5～108MHz，支持自动搜台存储+断电记忆。</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4.音接口规格：1路RCA非平衡立体声录音输入、1路RCA非平衡立体声输出；USB播放、录音均兼容WAV/WMA/MP3格式音频。</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5.音质性能：频率响应20Hz～20kHz；FM信噪比≥45dB、失真＜1%；USB/蓝牙信噪比＞80dB、失真＜0.1%。</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6.供电环境：输入电压220-240VAC，50/60Hz，整机功耗＜20W，工作环境0℃-40℃、湿度≤95%。</w:t>
            </w:r>
          </w:p>
        </w:tc>
        <w:tc>
          <w:tcPr>
            <w:tcW w:w="992" w:type="dxa"/>
            <w:noWrap w:val="0"/>
            <w:vAlign w:val="center"/>
          </w:tcPr>
          <w:p w14:paraId="00CDD14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2</w:t>
            </w:r>
          </w:p>
        </w:tc>
        <w:tc>
          <w:tcPr>
            <w:tcW w:w="1134" w:type="dxa"/>
            <w:noWrap w:val="0"/>
            <w:vAlign w:val="center"/>
          </w:tcPr>
          <w:p w14:paraId="02CCE30E">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229A955C">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r w14:paraId="4AF2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69EC65CA">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6</w:t>
            </w:r>
          </w:p>
        </w:tc>
        <w:tc>
          <w:tcPr>
            <w:tcW w:w="1477" w:type="dxa"/>
            <w:noWrap w:val="0"/>
            <w:vAlign w:val="center"/>
          </w:tcPr>
          <w:p w14:paraId="5743BE15">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32路报警器</w:t>
            </w:r>
          </w:p>
        </w:tc>
        <w:tc>
          <w:tcPr>
            <w:tcW w:w="7255" w:type="dxa"/>
            <w:noWrap w:val="0"/>
            <w:vAlign w:val="center"/>
          </w:tcPr>
          <w:p w14:paraId="01F7BF1C">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1.需支持机柜式安装，≤1U高度。</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2.≥32路网络报警输入（短路信号输入），有信号输入时，相应通道指示灯亮。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3.≥8路网络报警输出（短路信号输出），低电平闭合信号，便于控制其它设备。</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4.设备IP地址具有复位按钮，在丢失IP地址时，可恢复初始设置。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5.报警信号优先，自动强插，系统亦可设备自定议优先级别。</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6.配合数字网络音频系统使用，消防路数随意扩展。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7.可根据不同地点不同警源设置相应报警铃声，使灾情清晰明朗。</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8.设备电源采用开关电源设计，AC100~240V电压都能正常工作。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9.需支持多种网络通讯协议：ARP、UDP、TCP/IP、ICMP、IGMP。</w:t>
            </w:r>
          </w:p>
        </w:tc>
        <w:tc>
          <w:tcPr>
            <w:tcW w:w="992" w:type="dxa"/>
            <w:noWrap w:val="0"/>
            <w:vAlign w:val="center"/>
          </w:tcPr>
          <w:p w14:paraId="36B1521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546FA8D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2DDDCCA7">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7B38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F131F7F">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7</w:t>
            </w:r>
          </w:p>
        </w:tc>
        <w:tc>
          <w:tcPr>
            <w:tcW w:w="1477" w:type="dxa"/>
            <w:noWrap w:val="0"/>
            <w:vAlign w:val="center"/>
          </w:tcPr>
          <w:p w14:paraId="43809DF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电源时序管理器</w:t>
            </w:r>
          </w:p>
        </w:tc>
        <w:tc>
          <w:tcPr>
            <w:tcW w:w="7255" w:type="dxa"/>
            <w:noWrap w:val="0"/>
            <w:vAlign w:val="center"/>
          </w:tcPr>
          <w:p w14:paraId="75A09EE6">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1.需采用ARM32位处理器控制，使时间更精确性能更稳定。.≥8路通道总承受功率为8.8KW电源，拥有高性能RFI/EMI电源滤波器，为用户的设备提供干净而稳定的电源。</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3.需采用LCD蓝色背光显示功能设置操作界面使设备操作变得更加直观。</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4.每通道设立独立的硬件紧急关闭开关，可以通过开关紧急关闭某一路的电源输出。</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5.可设置密码功能，更好的保护系统用电安全管理。</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6.软件编辑功能，可独立调整通道开机及关机的延时时间。</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7.设备内置定时开关机功能，最长可达≥12个月的定时时间设置。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8.设备内置中控代码生成器，方便第三方设备进行代码编辑。</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9.设备内置远程控制，让用户能随时随地的对设备进行开启关闭操作。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10.能与同型号的电源时序器进行多台扩展及级联设置，而无需再购置其它控制器件。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11.设备受控控制方式多样，TCP/IP、WIFI、USB，RS485，RS232联机控制加上外部（远程REMOTE）控制能控制复杂的电源系统。</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12.本设备可通过红外学习IR功能及IO控制功能对第三方设备进行控制。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13.采用新国家标准的≥10A及≥16A通用安全划盖插座，使得用电安全更加有保障。</w:t>
            </w:r>
          </w:p>
        </w:tc>
        <w:tc>
          <w:tcPr>
            <w:tcW w:w="992" w:type="dxa"/>
            <w:noWrap w:val="0"/>
            <w:vAlign w:val="center"/>
          </w:tcPr>
          <w:p w14:paraId="6696CFF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6B4779B0">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1588FCD5">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4CF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3644F71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8</w:t>
            </w:r>
          </w:p>
        </w:tc>
        <w:tc>
          <w:tcPr>
            <w:tcW w:w="1477" w:type="dxa"/>
            <w:noWrap w:val="0"/>
            <w:vAlign w:val="center"/>
          </w:tcPr>
          <w:p w14:paraId="60D1CCB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网络机柜</w:t>
            </w:r>
          </w:p>
          <w:p w14:paraId="27E235C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（42U 标准机柜）</w:t>
            </w:r>
          </w:p>
        </w:tc>
        <w:tc>
          <w:tcPr>
            <w:tcW w:w="7255" w:type="dxa"/>
            <w:noWrap w:val="0"/>
            <w:vAlign w:val="center"/>
          </w:tcPr>
          <w:p w14:paraId="59A86F8D">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1.规格尺寸：42U标准机柜，外形尺寸 2000×600×800mm，19 英寸标准安装立柱，静态承重≥800kg。</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2.板材材质：主体采用 SPCC 冷轧钢板，承重立柱厚度≥2.0mm。</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3.柜体结构：前门网孔通风门带三点防盗锁，后门双开网门，可拆卸侧板，支持多台机柜并柜。</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4.散热走线：顶部配置 2 台散热风扇，顶底均带阻燃毛刷走线孔，柜内配备竖向强弱电理线槽。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5.标配配件：含2块承重托盘、成套安装螺丝、接地铜排组件、12位防雷 PDU 电源。</w:t>
            </w:r>
          </w:p>
        </w:tc>
        <w:tc>
          <w:tcPr>
            <w:tcW w:w="992" w:type="dxa"/>
            <w:noWrap w:val="0"/>
            <w:vAlign w:val="center"/>
          </w:tcPr>
          <w:p w14:paraId="52D1C333">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3C57052D">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5D8A1776">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图腾、三拓、山特</w:t>
            </w:r>
          </w:p>
        </w:tc>
      </w:tr>
      <w:tr w14:paraId="333D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32" w:type="dxa"/>
            <w:shd w:val="clear" w:color="auto" w:fill="auto"/>
            <w:noWrap w:val="0"/>
            <w:vAlign w:val="center"/>
          </w:tcPr>
          <w:p w14:paraId="45CEB5C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9</w:t>
            </w:r>
          </w:p>
        </w:tc>
        <w:tc>
          <w:tcPr>
            <w:tcW w:w="1477" w:type="dxa"/>
            <w:shd w:val="clear" w:color="000000" w:fill="FFFFFF"/>
            <w:noWrap w:val="0"/>
            <w:vAlign w:val="center"/>
          </w:tcPr>
          <w:p w14:paraId="1822715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网络机柜</w:t>
            </w:r>
          </w:p>
          <w:p w14:paraId="0F2353A8">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w:t>
            </w:r>
            <w:r>
              <w:rPr>
                <w:rFonts w:hint="eastAsia" w:ascii="Times New Roman" w:hAnsi="Times New Roman" w:eastAsia="仿宋_GB2312"/>
                <w:kern w:val="0"/>
                <w:szCs w:val="21"/>
              </w:rPr>
              <w:t>6U 壁挂机柜</w:t>
            </w:r>
            <w:r>
              <w:rPr>
                <w:rFonts w:hint="eastAsia" w:ascii="Times New Roman" w:hAnsi="Times New Roman" w:eastAsia="仿宋_GB2312"/>
                <w:color w:val="000000"/>
                <w:kern w:val="0"/>
                <w:szCs w:val="21"/>
              </w:rPr>
              <w:t>）</w:t>
            </w:r>
          </w:p>
        </w:tc>
        <w:tc>
          <w:tcPr>
            <w:tcW w:w="7255" w:type="dxa"/>
            <w:shd w:val="clear" w:color="auto" w:fill="auto"/>
            <w:noWrap w:val="0"/>
            <w:vAlign w:val="center"/>
          </w:tcPr>
          <w:p w14:paraId="1C513B42">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1.外形尺寸：6U 壁挂机柜，外形600×450×350mm，19 英寸标准安装位，壁挂承重≥120kg。</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2.材质结构：SPCC 冷轧钢板，门框立柱≥1.2mm，单开网孔前门配防盗门锁，整机接地防静电。</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3.配套配置：顶部自带散热风扇，上下带毛刷走线孔，标配安装螺丝、壁挂支架、接地套件。</w:t>
            </w:r>
          </w:p>
        </w:tc>
        <w:tc>
          <w:tcPr>
            <w:tcW w:w="992" w:type="dxa"/>
            <w:shd w:val="clear" w:color="000000" w:fill="FFFFFF"/>
            <w:noWrap w:val="0"/>
            <w:vAlign w:val="center"/>
          </w:tcPr>
          <w:p w14:paraId="73C02761">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3</w:t>
            </w:r>
          </w:p>
        </w:tc>
        <w:tc>
          <w:tcPr>
            <w:tcW w:w="1134" w:type="dxa"/>
            <w:shd w:val="clear" w:color="000000" w:fill="FFFFFF"/>
            <w:noWrap w:val="0"/>
            <w:vAlign w:val="center"/>
          </w:tcPr>
          <w:p w14:paraId="44E80396">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个</w:t>
            </w:r>
          </w:p>
        </w:tc>
        <w:tc>
          <w:tcPr>
            <w:tcW w:w="1446" w:type="dxa"/>
            <w:shd w:val="clear" w:color="000000" w:fill="FFFFFF"/>
            <w:noWrap w:val="0"/>
            <w:vAlign w:val="center"/>
          </w:tcPr>
          <w:p w14:paraId="5F6BC513">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图腾、三拓、山特</w:t>
            </w:r>
          </w:p>
        </w:tc>
      </w:tr>
      <w:tr w14:paraId="6760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7D9E2E6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10</w:t>
            </w:r>
          </w:p>
        </w:tc>
        <w:tc>
          <w:tcPr>
            <w:tcW w:w="1477" w:type="dxa"/>
            <w:shd w:val="clear" w:color="000000" w:fill="FFFFFF"/>
            <w:noWrap w:val="0"/>
            <w:vAlign w:val="center"/>
          </w:tcPr>
          <w:p w14:paraId="654FC04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室外防雨机柜</w:t>
            </w:r>
          </w:p>
        </w:tc>
        <w:tc>
          <w:tcPr>
            <w:tcW w:w="7255" w:type="dxa"/>
            <w:noWrap w:val="0"/>
            <w:vAlign w:val="center"/>
          </w:tcPr>
          <w:p w14:paraId="12915AA3">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1.外形尺寸：9U 壁挂机柜，外形600×450×500mm，19 英寸标准安装位，壁挂承重≥120kg,可壁挂/落地。</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2.材质结构：室外防雨机柜,SPCC 冷轧钢板，门框立柱≥1.2mm，单开网孔前门配防盗门锁，整机接地防静电。</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3.配套配置：两侧自带散热风扇，标配安装螺丝、壁挂支架、接地套件。</w:t>
            </w:r>
          </w:p>
        </w:tc>
        <w:tc>
          <w:tcPr>
            <w:tcW w:w="992" w:type="dxa"/>
            <w:noWrap w:val="0"/>
            <w:vAlign w:val="center"/>
          </w:tcPr>
          <w:p w14:paraId="37664244">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2</w:t>
            </w:r>
          </w:p>
        </w:tc>
        <w:tc>
          <w:tcPr>
            <w:tcW w:w="1134" w:type="dxa"/>
            <w:noWrap w:val="0"/>
            <w:vAlign w:val="center"/>
          </w:tcPr>
          <w:p w14:paraId="44452A6F">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个</w:t>
            </w:r>
          </w:p>
        </w:tc>
        <w:tc>
          <w:tcPr>
            <w:tcW w:w="1446" w:type="dxa"/>
            <w:noWrap w:val="0"/>
            <w:vAlign w:val="center"/>
          </w:tcPr>
          <w:p w14:paraId="378860D9">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国产优质</w:t>
            </w:r>
          </w:p>
        </w:tc>
      </w:tr>
      <w:tr w14:paraId="638D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14D7C18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11</w:t>
            </w:r>
          </w:p>
        </w:tc>
        <w:tc>
          <w:tcPr>
            <w:tcW w:w="1477" w:type="dxa"/>
            <w:noWrap w:val="0"/>
            <w:vAlign w:val="center"/>
          </w:tcPr>
          <w:p w14:paraId="0DAC38F2">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IP网络音箱</w:t>
            </w:r>
          </w:p>
        </w:tc>
        <w:tc>
          <w:tcPr>
            <w:tcW w:w="7255" w:type="dxa"/>
            <w:noWrap w:val="0"/>
            <w:vAlign w:val="center"/>
          </w:tcPr>
          <w:p w14:paraId="5B85CA51">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1.箱体需采用高品质木质材料。</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2.内置≥2×20 W功放，搭配高品质≥5.25寸全频喇叭，声音洪亮，清澈。</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3.内嵌DSP音频处理器，支持网络解码播放。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4.需支持终端远程在线升级，方便维护。</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5.需支持挂钩设计，支持壁挂式安装方式，施工简单又安全可靠。</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 xml:space="preserve">6.需支持跨网段和跨路由，可连接广域网，支持DHCP。 </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7.需支持U盘本地播放。</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8.需支持≥1路线路输入，用于接入本地其他音源进行扩声。</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9.≥1个音量调节旋钮，用于调节本地线路输入的音量大小。</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10.需内置高灵敏度麦克风，可对周边环境进行监听。</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11.需支持网络环境自适应，当网络情况比较差的时候，可启动缓冲和丢包重传。</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12.需具有LED指示灯，实时显示终端工作状态。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13.需带复位按钮，支持一键恢复出厂设置，方便调试。</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14.≥1路RS232接口，可用于扩展时钟显示屏。</w:t>
            </w:r>
          </w:p>
        </w:tc>
        <w:tc>
          <w:tcPr>
            <w:tcW w:w="992" w:type="dxa"/>
            <w:noWrap w:val="0"/>
            <w:vAlign w:val="center"/>
          </w:tcPr>
          <w:p w14:paraId="759F8CB3">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20A18C82">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noWrap w:val="0"/>
            <w:vAlign w:val="center"/>
          </w:tcPr>
          <w:p w14:paraId="079D2155">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5C3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7D0E112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12</w:t>
            </w:r>
          </w:p>
        </w:tc>
        <w:tc>
          <w:tcPr>
            <w:tcW w:w="1477" w:type="dxa"/>
            <w:noWrap w:val="0"/>
            <w:vAlign w:val="center"/>
          </w:tcPr>
          <w:p w14:paraId="21B47899">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智慧语音播控台</w:t>
            </w:r>
          </w:p>
        </w:tc>
        <w:tc>
          <w:tcPr>
            <w:tcW w:w="7255" w:type="dxa"/>
            <w:noWrap w:val="0"/>
            <w:vAlign w:val="center"/>
          </w:tcPr>
          <w:p w14:paraId="14398E14">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可与各双向终端、寻呼话筒等实现全双工双向对讲功能，也可对点、分区、全区进行广播和文件播放功能。≥7寸高清IPS液晶屏，无操作进入休眠；支持≥6路平行广播（可同时发起多个寻呼任务，每个任务可通过悬浮球的形式缩放），支持同时创建≥30路实时广播。</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3.支持屏幕UI主题风格切换，支持屏保时间设置，支持熄屏时间设置。</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4.面板配置5PIN话筒杆插座，标配50 cm可拆卸话筒杆，两节软管，内置防风罩。</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5.内置3W全频扬声器，可播放本地音频和接收远程音频信号进行本地播放，同时还可实现监听功能。</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6.具有USB接口，并支持点播或广播U盘的音频文件，将音频文件转播到指定广播终端。</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7.支持一键实现寻呼、广播任意终端功能，可对全区、分区，指定终端发起广播寻呼喊话，分区数量不限；寻呼音质好，无延时感知，终端音量可调。</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8.有监听功能，用于监听其他终端采集到的环境声音。可对分组或终端进行环境音实况监听，支持分组循环监听，灵活设置监听时间。</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9.需支持静态IP和DHCP两种网络接入方式。</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10.支持用户鉴权，包括用户名密码和 U - KEY （选配）两种方式，可满足安全播控的要求。支持4G全网通，可内置2600mAh电池，待机大于24小时，连续工作时间大于4小时，无需网络布线，且可满足移动式广播应用需求。</w:t>
            </w:r>
          </w:p>
        </w:tc>
        <w:tc>
          <w:tcPr>
            <w:tcW w:w="992" w:type="dxa"/>
            <w:noWrap w:val="0"/>
            <w:vAlign w:val="center"/>
          </w:tcPr>
          <w:p w14:paraId="1349C5AA">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w:t>
            </w:r>
          </w:p>
        </w:tc>
        <w:tc>
          <w:tcPr>
            <w:tcW w:w="1134" w:type="dxa"/>
            <w:noWrap w:val="0"/>
            <w:vAlign w:val="center"/>
          </w:tcPr>
          <w:p w14:paraId="45FAE371">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noWrap w:val="0"/>
            <w:vAlign w:val="center"/>
          </w:tcPr>
          <w:p w14:paraId="0BF6ED26">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7DDD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noWrap w:val="0"/>
            <w:vAlign w:val="center"/>
          </w:tcPr>
          <w:p w14:paraId="2113B071">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13</w:t>
            </w:r>
          </w:p>
        </w:tc>
        <w:tc>
          <w:tcPr>
            <w:tcW w:w="1477" w:type="dxa"/>
            <w:noWrap w:val="0"/>
            <w:vAlign w:val="center"/>
          </w:tcPr>
          <w:p w14:paraId="0CDE0340">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吸顶扬声器</w:t>
            </w:r>
          </w:p>
        </w:tc>
        <w:tc>
          <w:tcPr>
            <w:tcW w:w="7255" w:type="dxa"/>
            <w:noWrap w:val="0"/>
            <w:vAlign w:val="center"/>
          </w:tcPr>
          <w:p w14:paraId="3D499525">
            <w:pPr>
              <w:widowControl/>
              <w:spacing w:before="94" w:beforeLines="30" w:after="94" w:afterLines="30" w:line="312" w:lineRule="auto"/>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1.表面需采用ABS 材料，坚固耐用，具有耐低温、耐高温等优点。</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2.金属防尘网，有效防尘，保证音质，延长喇叭的使用寿命。</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3.天花板嵌入式安装，安装快速简便。</w:t>
            </w:r>
            <w:r>
              <w:rPr>
                <w:rFonts w:hint="eastAsia" w:ascii="Times New Roman" w:hAnsi="Times New Roman" w:eastAsia="仿宋_GB2312"/>
                <w:color w:val="000000"/>
                <w:kern w:val="0"/>
                <w:szCs w:val="21"/>
              </w:rPr>
              <w:br w:type="textWrapping"/>
            </w:r>
            <w:r>
              <w:rPr>
                <w:rFonts w:hint="eastAsia" w:ascii="Times New Roman" w:hAnsi="Times New Roman" w:eastAsia="仿宋_GB2312"/>
                <w:color w:val="000000"/>
                <w:kern w:val="0"/>
                <w:szCs w:val="21"/>
              </w:rPr>
              <w:t>4.输入电压≥100 V；额定阻抗额定阻抗(100V) ：1.7 KΩ；额定功率≥6 W；灵敏度≥91±3 dB（1M/1W）；组成：≥1×6"扬声器单元；频率响应不劣于140 Hz～20 kHz。</w:t>
            </w:r>
          </w:p>
        </w:tc>
        <w:tc>
          <w:tcPr>
            <w:tcW w:w="992" w:type="dxa"/>
            <w:noWrap w:val="0"/>
            <w:vAlign w:val="center"/>
          </w:tcPr>
          <w:p w14:paraId="7306D42D">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74</w:t>
            </w:r>
          </w:p>
        </w:tc>
        <w:tc>
          <w:tcPr>
            <w:tcW w:w="1134" w:type="dxa"/>
            <w:noWrap w:val="0"/>
            <w:vAlign w:val="center"/>
          </w:tcPr>
          <w:p w14:paraId="3C99FD4B">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noWrap w:val="0"/>
            <w:vAlign w:val="center"/>
          </w:tcPr>
          <w:p w14:paraId="7F84F714">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3B3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11C21FE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14</w:t>
            </w:r>
          </w:p>
        </w:tc>
        <w:tc>
          <w:tcPr>
            <w:tcW w:w="1477" w:type="dxa"/>
            <w:shd w:val="clear" w:color="auto" w:fill="auto"/>
            <w:noWrap/>
            <w:vAlign w:val="center"/>
          </w:tcPr>
          <w:p w14:paraId="6EE126D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室外防水音柱（扬声器）</w:t>
            </w:r>
          </w:p>
        </w:tc>
        <w:tc>
          <w:tcPr>
            <w:tcW w:w="7255" w:type="dxa"/>
            <w:shd w:val="clear" w:color="000000" w:fill="FFFFFF"/>
            <w:noWrap w:val="0"/>
            <w:vAlign w:val="center"/>
          </w:tcPr>
          <w:p w14:paraId="0079519C">
            <w:pPr>
              <w:widowControl/>
              <w:numPr>
                <w:ilvl w:val="0"/>
                <w:numId w:val="0"/>
              </w:numPr>
              <w:spacing w:before="94" w:beforeLines="30" w:after="94" w:afterLines="30" w:line="312" w:lineRule="auto"/>
              <w:ind w:leftChars="0"/>
              <w:jc w:val="both"/>
              <w:rPr>
                <w:rFonts w:ascii="Times New Roman" w:hAnsi="Times New Roman" w:eastAsia="仿宋_GB2312"/>
                <w:kern w:val="0"/>
                <w:szCs w:val="21"/>
              </w:rPr>
            </w:pPr>
            <w:r>
              <w:rPr>
                <w:rFonts w:hint="eastAsia" w:ascii="Times New Roman" w:hAnsi="Times New Roman" w:eastAsia="仿宋_GB2312"/>
                <w:kern w:val="0"/>
                <w:szCs w:val="21"/>
                <w:lang w:val="en-US" w:eastAsia="zh-CN"/>
              </w:rPr>
              <w:t>1.</w:t>
            </w:r>
            <w:r>
              <w:rPr>
                <w:rFonts w:hint="eastAsia" w:ascii="Times New Roman" w:hAnsi="Times New Roman" w:eastAsia="仿宋_GB2312"/>
                <w:kern w:val="0"/>
                <w:szCs w:val="21"/>
              </w:rPr>
              <w:t>设备具备室外防护能力，防水防尘等级不低于IP</w:t>
            </w:r>
            <w:r>
              <w:rPr>
                <w:rFonts w:ascii="Times New Roman" w:hAnsi="Times New Roman" w:eastAsia="仿宋_GB2312"/>
                <w:kern w:val="0"/>
                <w:szCs w:val="21"/>
              </w:rPr>
              <w:t>55</w:t>
            </w:r>
            <w:r>
              <w:rPr>
                <w:rFonts w:hint="eastAsia" w:ascii="Times New Roman" w:hAnsi="Times New Roman" w:eastAsia="仿宋_GB2312"/>
                <w:kern w:val="0"/>
                <w:szCs w:val="21"/>
              </w:rPr>
              <w:t>，可适用户外露天使用环境。</w:t>
            </w:r>
          </w:p>
          <w:p w14:paraId="5188481D">
            <w:pPr>
              <w:pStyle w:val="2"/>
              <w:jc w:val="both"/>
              <w:rPr>
                <w:rFonts w:ascii="Times New Roman" w:hAnsi="Times New Roman" w:eastAsia="仿宋_GB2312"/>
                <w:kern w:val="0"/>
                <w:szCs w:val="21"/>
              </w:rPr>
            </w:pPr>
            <w:r>
              <w:rPr>
                <w:rFonts w:hint="eastAsia" w:ascii="Times New Roman" w:hAnsi="Times New Roman" w:eastAsia="仿宋_GB2312"/>
                <w:kern w:val="0"/>
                <w:szCs w:val="21"/>
              </w:rPr>
              <w:t>2</w:t>
            </w:r>
            <w:r>
              <w:rPr>
                <w:rFonts w:ascii="Times New Roman" w:hAnsi="Times New Roman" w:eastAsia="仿宋_GB2312"/>
                <w:kern w:val="0"/>
                <w:szCs w:val="21"/>
              </w:rPr>
              <w:t>.</w:t>
            </w:r>
            <w:r>
              <w:rPr>
                <w:rFonts w:hint="eastAsia" w:ascii="Times New Roman" w:hAnsi="Times New Roman" w:eastAsia="仿宋_GB2312"/>
                <w:kern w:val="0"/>
                <w:szCs w:val="21"/>
              </w:rPr>
              <w:t>集成低音单元不小于5寸和高音单元不小于1寸。</w:t>
            </w:r>
          </w:p>
          <w:p w14:paraId="1F228423">
            <w:pPr>
              <w:jc w:val="both"/>
              <w:rPr>
                <w:rFonts w:ascii="Times New Roman" w:hAnsi="Times New Roman" w:eastAsia="仿宋_GB2312"/>
                <w:kern w:val="0"/>
                <w:szCs w:val="21"/>
              </w:rPr>
            </w:pPr>
            <w:r>
              <w:rPr>
                <w:rFonts w:hint="eastAsia" w:ascii="Times New Roman" w:hAnsi="Times New Roman" w:eastAsia="仿宋_GB2312"/>
                <w:kern w:val="0"/>
                <w:szCs w:val="21"/>
              </w:rPr>
              <w:t>3</w:t>
            </w:r>
            <w:r>
              <w:rPr>
                <w:rFonts w:ascii="Times New Roman" w:hAnsi="Times New Roman" w:eastAsia="仿宋_GB2312"/>
                <w:kern w:val="0"/>
                <w:szCs w:val="21"/>
              </w:rPr>
              <w:t>.</w:t>
            </w:r>
            <w:r>
              <w:rPr>
                <w:rFonts w:hint="eastAsia" w:ascii="Times New Roman" w:hAnsi="Times New Roman" w:eastAsia="仿宋_GB2312"/>
                <w:kern w:val="0"/>
                <w:szCs w:val="21"/>
              </w:rPr>
              <w:t>频率响应（-</w:t>
            </w:r>
            <w:r>
              <w:rPr>
                <w:rFonts w:ascii="Times New Roman" w:hAnsi="Times New Roman" w:eastAsia="仿宋_GB2312"/>
                <w:kern w:val="0"/>
                <w:szCs w:val="21"/>
              </w:rPr>
              <w:t>10</w:t>
            </w:r>
            <w:r>
              <w:rPr>
                <w:rFonts w:hint="eastAsia" w:ascii="Times New Roman" w:hAnsi="Times New Roman" w:eastAsia="仿宋_GB2312"/>
                <w:kern w:val="0"/>
                <w:szCs w:val="21"/>
              </w:rPr>
              <w:t>d</w:t>
            </w:r>
            <w:r>
              <w:rPr>
                <w:rFonts w:ascii="Times New Roman" w:hAnsi="Times New Roman" w:eastAsia="仿宋_GB2312"/>
                <w:kern w:val="0"/>
                <w:szCs w:val="21"/>
              </w:rPr>
              <w:t>B</w:t>
            </w:r>
            <w:r>
              <w:rPr>
                <w:rFonts w:hint="eastAsia" w:ascii="Times New Roman" w:hAnsi="Times New Roman" w:eastAsia="仿宋_GB2312"/>
                <w:kern w:val="0"/>
                <w:szCs w:val="21"/>
              </w:rPr>
              <w:t>）:</w:t>
            </w:r>
            <w:r>
              <w:rPr>
                <w:rFonts w:ascii="Times New Roman" w:hAnsi="Times New Roman" w:eastAsia="仿宋_GB2312"/>
                <w:kern w:val="0"/>
                <w:szCs w:val="21"/>
              </w:rPr>
              <w:t>80HZ</w:t>
            </w:r>
            <w:r>
              <w:rPr>
                <w:rFonts w:hint="eastAsia" w:ascii="Times New Roman" w:hAnsi="Times New Roman" w:eastAsia="仿宋_GB2312"/>
                <w:kern w:val="0"/>
                <w:szCs w:val="21"/>
              </w:rPr>
              <w:t>~</w:t>
            </w:r>
            <w:r>
              <w:rPr>
                <w:rFonts w:ascii="Times New Roman" w:hAnsi="Times New Roman" w:eastAsia="仿宋_GB2312"/>
                <w:kern w:val="0"/>
                <w:szCs w:val="21"/>
              </w:rPr>
              <w:t>18KHZ,</w:t>
            </w:r>
            <w:r>
              <w:rPr>
                <w:rFonts w:hint="eastAsia" w:ascii="Times New Roman" w:hAnsi="Times New Roman" w:eastAsia="仿宋_GB2312"/>
                <w:kern w:val="0"/>
                <w:szCs w:val="21"/>
              </w:rPr>
              <w:t>额定功率≥2</w:t>
            </w:r>
            <w:r>
              <w:rPr>
                <w:rFonts w:ascii="Times New Roman" w:hAnsi="Times New Roman" w:eastAsia="仿宋_GB2312"/>
                <w:kern w:val="0"/>
                <w:szCs w:val="21"/>
              </w:rPr>
              <w:t>5W</w:t>
            </w:r>
            <w:r>
              <w:rPr>
                <w:rFonts w:hint="eastAsia" w:ascii="Times New Roman" w:hAnsi="Times New Roman" w:eastAsia="仿宋_GB2312"/>
                <w:kern w:val="0"/>
                <w:szCs w:val="21"/>
              </w:rPr>
              <w:t>@</w:t>
            </w:r>
            <w:r>
              <w:rPr>
                <w:rFonts w:ascii="Times New Roman" w:hAnsi="Times New Roman" w:eastAsia="仿宋_GB2312"/>
                <w:kern w:val="0"/>
                <w:szCs w:val="21"/>
              </w:rPr>
              <w:t>100V,</w:t>
            </w:r>
            <w:r>
              <w:rPr>
                <w:rFonts w:hint="eastAsia" w:ascii="Times New Roman" w:hAnsi="Times New Roman" w:eastAsia="仿宋_GB2312"/>
                <w:kern w:val="0"/>
                <w:szCs w:val="21"/>
              </w:rPr>
              <w:t>声压级（1</w:t>
            </w:r>
            <w:r>
              <w:rPr>
                <w:rFonts w:ascii="Times New Roman" w:hAnsi="Times New Roman" w:eastAsia="仿宋_GB2312"/>
                <w:kern w:val="0"/>
                <w:szCs w:val="21"/>
              </w:rPr>
              <w:t>W/1</w:t>
            </w:r>
            <w:r>
              <w:rPr>
                <w:rFonts w:hint="eastAsia" w:ascii="Times New Roman" w:hAnsi="Times New Roman" w:eastAsia="仿宋_GB2312"/>
                <w:kern w:val="0"/>
                <w:szCs w:val="21"/>
              </w:rPr>
              <w:t>m）≥8</w:t>
            </w:r>
            <w:r>
              <w:rPr>
                <w:rFonts w:ascii="Times New Roman" w:hAnsi="Times New Roman" w:eastAsia="仿宋_GB2312"/>
                <w:kern w:val="0"/>
                <w:szCs w:val="21"/>
              </w:rPr>
              <w:t>9</w:t>
            </w:r>
            <w:r>
              <w:rPr>
                <w:rFonts w:hint="eastAsia" w:ascii="Times New Roman" w:hAnsi="Times New Roman" w:eastAsia="仿宋_GB2312"/>
                <w:kern w:val="0"/>
                <w:szCs w:val="21"/>
              </w:rPr>
              <w:t xml:space="preserve"> d</w:t>
            </w:r>
            <w:r>
              <w:rPr>
                <w:rFonts w:ascii="Times New Roman" w:hAnsi="Times New Roman" w:eastAsia="仿宋_GB2312"/>
                <w:kern w:val="0"/>
                <w:szCs w:val="21"/>
              </w:rPr>
              <w:t>B,</w:t>
            </w:r>
            <w:r>
              <w:rPr>
                <w:rFonts w:hint="eastAsia" w:ascii="Times New Roman" w:hAnsi="Times New Roman" w:eastAsia="仿宋_GB2312"/>
                <w:kern w:val="0"/>
                <w:szCs w:val="21"/>
              </w:rPr>
              <w:t>运行温度-</w:t>
            </w:r>
            <w:r>
              <w:rPr>
                <w:rFonts w:ascii="Times New Roman" w:hAnsi="Times New Roman" w:eastAsia="仿宋_GB2312"/>
                <w:kern w:val="0"/>
                <w:szCs w:val="21"/>
              </w:rPr>
              <w:t>20</w:t>
            </w:r>
            <w:r>
              <w:rPr>
                <w:rFonts w:hint="eastAsia" w:ascii="Times New Roman" w:hAnsi="Times New Roman" w:eastAsia="仿宋_GB2312"/>
                <w:kern w:val="0"/>
                <w:szCs w:val="21"/>
              </w:rPr>
              <w:t>℃～</w:t>
            </w:r>
            <w:r>
              <w:rPr>
                <w:rFonts w:ascii="Times New Roman" w:hAnsi="Times New Roman" w:eastAsia="仿宋_GB2312"/>
                <w:kern w:val="0"/>
                <w:szCs w:val="21"/>
              </w:rPr>
              <w:t>55</w:t>
            </w:r>
            <w:r>
              <w:rPr>
                <w:rFonts w:hint="eastAsia" w:ascii="Times New Roman" w:hAnsi="Times New Roman" w:eastAsia="仿宋_GB2312"/>
                <w:kern w:val="0"/>
                <w:szCs w:val="21"/>
              </w:rPr>
              <w:t>℃、湿度</w:t>
            </w:r>
            <w:r>
              <w:rPr>
                <w:rFonts w:ascii="Times New Roman" w:hAnsi="Times New Roman" w:eastAsia="仿宋_GB2312"/>
                <w:kern w:val="0"/>
                <w:szCs w:val="21"/>
              </w:rPr>
              <w:t>&lt;</w:t>
            </w:r>
            <w:r>
              <w:rPr>
                <w:rFonts w:hint="eastAsia" w:ascii="Times New Roman" w:hAnsi="Times New Roman" w:eastAsia="仿宋_GB2312"/>
                <w:kern w:val="0"/>
                <w:szCs w:val="21"/>
              </w:rPr>
              <w:t>95%。</w:t>
            </w:r>
          </w:p>
          <w:p w14:paraId="3AF360B0">
            <w:pPr>
              <w:pStyle w:val="2"/>
              <w:jc w:val="both"/>
              <w:rPr>
                <w:rFonts w:hint="eastAsia" w:ascii="Times New Roman" w:hAnsi="Times New Roman"/>
              </w:rPr>
            </w:pPr>
            <w:r>
              <w:rPr>
                <w:rFonts w:hint="eastAsia" w:ascii="Times New Roman" w:hAnsi="Times New Roman" w:eastAsia="仿宋_GB2312"/>
                <w:kern w:val="0"/>
                <w:szCs w:val="21"/>
              </w:rPr>
              <w:t>4</w:t>
            </w:r>
            <w:r>
              <w:rPr>
                <w:rFonts w:ascii="Times New Roman" w:hAnsi="Times New Roman" w:eastAsia="仿宋_GB2312"/>
                <w:kern w:val="0"/>
                <w:szCs w:val="21"/>
              </w:rPr>
              <w:t>.</w:t>
            </w:r>
            <w:r>
              <w:rPr>
                <w:rFonts w:hint="eastAsia" w:ascii="Times New Roman" w:hAnsi="Times New Roman" w:eastAsia="仿宋_GB2312"/>
                <w:kern w:val="0"/>
                <w:szCs w:val="21"/>
              </w:rPr>
              <w:t>安装方式：埋地</w:t>
            </w:r>
          </w:p>
        </w:tc>
        <w:tc>
          <w:tcPr>
            <w:tcW w:w="992" w:type="dxa"/>
            <w:noWrap w:val="0"/>
            <w:vAlign w:val="center"/>
          </w:tcPr>
          <w:p w14:paraId="0F6255BA">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6</w:t>
            </w:r>
          </w:p>
        </w:tc>
        <w:tc>
          <w:tcPr>
            <w:tcW w:w="1134" w:type="dxa"/>
            <w:noWrap w:val="0"/>
            <w:vAlign w:val="center"/>
          </w:tcPr>
          <w:p w14:paraId="35BEEEF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noWrap w:val="0"/>
            <w:vAlign w:val="center"/>
          </w:tcPr>
          <w:p w14:paraId="13664E4F">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TAIDEN、ITC、迪士普</w:t>
            </w:r>
          </w:p>
        </w:tc>
      </w:tr>
      <w:tr w14:paraId="231E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7CB967EB">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15</w:t>
            </w:r>
          </w:p>
        </w:tc>
        <w:tc>
          <w:tcPr>
            <w:tcW w:w="1477" w:type="dxa"/>
            <w:shd w:val="clear" w:color="000000" w:fill="FFFFFF"/>
            <w:noWrap w:val="0"/>
            <w:vAlign w:val="center"/>
          </w:tcPr>
          <w:p w14:paraId="69ED8E50">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无线话筒</w:t>
            </w:r>
          </w:p>
        </w:tc>
        <w:tc>
          <w:tcPr>
            <w:tcW w:w="7255" w:type="dxa"/>
            <w:shd w:val="clear" w:color="auto" w:fill="auto"/>
            <w:noWrap w:val="0"/>
            <w:vAlign w:val="center"/>
          </w:tcPr>
          <w:p w14:paraId="565CF294">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1.真分集接收机，双通道独立选讯系统，能最大限度降低断频的发生。</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2.双通道独立AFS频率自动搜索功能,能迅速扫描所在工作环境中干忧最少的频率并锁定。</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3.接收机与发射机通过IR红外对频技术，一键同步对码。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4.专业演出级别的相位锁定电路,配合杂讯锁定静噪控制与数码导频技术, 当发射器关闭时，导频控制将AF信号静音以抑制噪声，同时将对应的接收机静音。保证了对干忧信号的有效阻隔。</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5.背光式LED显示屏指示了RF和AF信号强度，电池状态，分集通道指示(A/B)频率，频率组/频道等工作状态。</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6.采用“音频参考压缩扩展”专利技术.有着极好的动态响应.音质极佳。</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7.射频传输频率范围：740~790MHz。</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8.工作范围： 在典型条件下≥100米，室外直线距离时≥150米；在高功率模式下≥150米，室外直线距离≥300米。实际工作范围取决于射频信号吸收、反射和干扰。</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9.音频频率响应：40</w:t>
            </w:r>
            <w:r>
              <w:rPr>
                <w:rFonts w:hint="eastAsia" w:ascii="Times New Roman" w:hAnsi="Times New Roman" w:eastAsia="微软雅黑"/>
                <w:kern w:val="0"/>
                <w:szCs w:val="21"/>
              </w:rPr>
              <w:t>–</w:t>
            </w:r>
            <w:r>
              <w:rPr>
                <w:rFonts w:hint="eastAsia" w:ascii="Times New Roman" w:hAnsi="Times New Roman" w:eastAsia="仿宋_GB2312"/>
                <w:kern w:val="0"/>
                <w:szCs w:val="21"/>
              </w:rPr>
              <w:t xml:space="preserve"> 18,000 Hz,(+1 dB, </w:t>
            </w:r>
            <w:r>
              <w:rPr>
                <w:rFonts w:hint="eastAsia" w:ascii="Times New Roman" w:hAnsi="Times New Roman" w:eastAsia="微软雅黑"/>
                <w:kern w:val="0"/>
                <w:szCs w:val="21"/>
              </w:rPr>
              <w:t>–</w:t>
            </w:r>
            <w:r>
              <w:rPr>
                <w:rFonts w:hint="eastAsia" w:ascii="Times New Roman" w:hAnsi="Times New Roman" w:eastAsia="仿宋_GB2312"/>
                <w:kern w:val="0"/>
                <w:szCs w:val="21"/>
              </w:rPr>
              <w:t>3 dB)。</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10.50MHz带宽内有≥200个可选频率；工作频率：740~790MHz；采用微电脑CPU控制；PLL锁相环频率合成技术；≥2*100频道自由选择,液晶数字显示；红外对频。</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11.S/N信噪比:&gt;105dB；T.H.D失真:&lt;0.5%；频率响应:40Hz-18KHz。</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12.杂讯锁定静噪控制+音码导航锁定静噪控制。</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13.音频动态扩展及自动电平控制电路。</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14.真分集接收</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双调谐高频接收选讯</w:t>
            </w:r>
            <w:r>
              <w:rPr>
                <w:rFonts w:hint="eastAsia" w:ascii="Times New Roman" w:hAnsi="Times New Roman" w:eastAsia="仿宋_GB2312"/>
                <w:kern w:val="0"/>
                <w:szCs w:val="21"/>
                <w:lang w:eastAsia="zh-CN"/>
              </w:rPr>
              <w:t>）</w:t>
            </w:r>
            <w:r>
              <w:rPr>
                <w:rFonts w:hint="eastAsia" w:ascii="Times New Roman" w:hAnsi="Times New Roman" w:eastAsia="仿宋_GB2312"/>
                <w:kern w:val="0"/>
                <w:szCs w:val="21"/>
              </w:rPr>
              <w:t>。</w:t>
            </w:r>
          </w:p>
        </w:tc>
        <w:tc>
          <w:tcPr>
            <w:tcW w:w="992" w:type="dxa"/>
            <w:shd w:val="clear" w:color="000000" w:fill="FFFFFF"/>
            <w:noWrap w:val="0"/>
            <w:vAlign w:val="center"/>
          </w:tcPr>
          <w:p w14:paraId="3498F3E2">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3</w:t>
            </w:r>
          </w:p>
        </w:tc>
        <w:tc>
          <w:tcPr>
            <w:tcW w:w="1134" w:type="dxa"/>
            <w:shd w:val="clear" w:color="000000" w:fill="FFFFFF"/>
            <w:noWrap w:val="0"/>
            <w:vAlign w:val="center"/>
          </w:tcPr>
          <w:p w14:paraId="666E091C">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台</w:t>
            </w:r>
          </w:p>
        </w:tc>
        <w:tc>
          <w:tcPr>
            <w:tcW w:w="1446" w:type="dxa"/>
            <w:shd w:val="clear" w:color="000000" w:fill="FFFFFF"/>
            <w:noWrap w:val="0"/>
            <w:vAlign w:val="center"/>
          </w:tcPr>
          <w:p w14:paraId="711C8EA1">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r w14:paraId="0F26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shd w:val="clear" w:color="auto" w:fill="auto"/>
            <w:noWrap w:val="0"/>
            <w:vAlign w:val="center"/>
          </w:tcPr>
          <w:p w14:paraId="1CE51B9E">
            <w:pPr>
              <w:widowControl/>
              <w:jc w:val="center"/>
              <w:rPr>
                <w:rFonts w:hint="eastAsia" w:ascii="Times New Roman" w:hAnsi="Times New Roman" w:eastAsia="仿宋_GB2312"/>
                <w:kern w:val="0"/>
                <w:szCs w:val="21"/>
              </w:rPr>
            </w:pPr>
            <w:r>
              <w:rPr>
                <w:rFonts w:hint="eastAsia" w:ascii="Times New Roman" w:hAnsi="Times New Roman" w:eastAsia="仿宋_GB2312"/>
                <w:kern w:val="0"/>
                <w:szCs w:val="21"/>
              </w:rPr>
              <w:t>16</w:t>
            </w:r>
          </w:p>
        </w:tc>
        <w:tc>
          <w:tcPr>
            <w:tcW w:w="1477" w:type="dxa"/>
            <w:shd w:val="clear" w:color="000000" w:fill="FFFFFF"/>
            <w:noWrap w:val="0"/>
            <w:vAlign w:val="center"/>
          </w:tcPr>
          <w:p w14:paraId="09D6E5FF">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天线放大器</w:t>
            </w:r>
          </w:p>
        </w:tc>
        <w:tc>
          <w:tcPr>
            <w:tcW w:w="7255" w:type="dxa"/>
            <w:shd w:val="clear" w:color="auto" w:fill="auto"/>
            <w:noWrap w:val="0"/>
            <w:vAlign w:val="center"/>
          </w:tcPr>
          <w:p w14:paraId="62699C5D">
            <w:pPr>
              <w:widowControl/>
              <w:spacing w:before="94" w:beforeLines="30" w:after="94" w:afterLines="30" w:line="312" w:lineRule="auto"/>
              <w:jc w:val="both"/>
              <w:rPr>
                <w:rFonts w:hint="eastAsia" w:ascii="Times New Roman" w:hAnsi="Times New Roman" w:eastAsia="仿宋_GB2312"/>
                <w:kern w:val="0"/>
                <w:szCs w:val="21"/>
              </w:rPr>
            </w:pPr>
            <w:r>
              <w:rPr>
                <w:rFonts w:hint="eastAsia" w:ascii="Times New Roman" w:hAnsi="Times New Roman" w:eastAsia="仿宋_GB2312"/>
                <w:kern w:val="0"/>
                <w:szCs w:val="21"/>
              </w:rPr>
              <w:t>1.一台天线分配器可提供≥4台接收机的分配连接。</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2.300MHz宽频带设计，适合多种无线系统使用。</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3.需配套指向性天线使用，提高系统接收信号的稳定性。</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4.对工程机柜式安装的无线系统，供电部份合理应用。</w:t>
            </w:r>
            <w:r>
              <w:rPr>
                <w:rFonts w:hint="eastAsia" w:ascii="Times New Roman" w:hAnsi="Times New Roman" w:eastAsia="仿宋_GB2312"/>
                <w:kern w:val="0"/>
                <w:szCs w:val="21"/>
              </w:rPr>
              <w:br w:type="textWrapping"/>
            </w:r>
            <w:r>
              <w:rPr>
                <w:rFonts w:hint="eastAsia" w:ascii="Times New Roman" w:hAnsi="Times New Roman" w:eastAsia="仿宋_GB2312"/>
                <w:kern w:val="0"/>
                <w:szCs w:val="21"/>
              </w:rPr>
              <w:t>5.频率响应: 600 - 900 MHz；最大增益: 0dB, +3dB - +10dB；阻抗: 50 ohms；安装插头: TNC；幻像电源: +8V DC 20mA；工作温度: -20℃～+50℃。</w:t>
            </w:r>
          </w:p>
        </w:tc>
        <w:tc>
          <w:tcPr>
            <w:tcW w:w="992" w:type="dxa"/>
            <w:shd w:val="clear" w:color="000000" w:fill="FFFFFF"/>
            <w:noWrap w:val="0"/>
            <w:vAlign w:val="center"/>
          </w:tcPr>
          <w:p w14:paraId="41F4EE1D">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3</w:t>
            </w:r>
          </w:p>
        </w:tc>
        <w:tc>
          <w:tcPr>
            <w:tcW w:w="1134" w:type="dxa"/>
            <w:shd w:val="clear" w:color="000000" w:fill="FFFFFF"/>
            <w:noWrap w:val="0"/>
            <w:vAlign w:val="center"/>
          </w:tcPr>
          <w:p w14:paraId="580460B5">
            <w:pPr>
              <w:widowControl/>
              <w:jc w:val="center"/>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只</w:t>
            </w:r>
          </w:p>
        </w:tc>
        <w:tc>
          <w:tcPr>
            <w:tcW w:w="1446" w:type="dxa"/>
            <w:shd w:val="clear" w:color="000000" w:fill="FFFFFF"/>
            <w:noWrap w:val="0"/>
            <w:vAlign w:val="center"/>
          </w:tcPr>
          <w:p w14:paraId="2F3179B1">
            <w:pPr>
              <w:widowControl/>
              <w:jc w:val="both"/>
              <w:rPr>
                <w:rFonts w:hint="eastAsia" w:ascii="Times New Roman" w:hAnsi="Times New Roman" w:eastAsia="仿宋_GB2312"/>
                <w:color w:val="000000"/>
                <w:kern w:val="0"/>
                <w:szCs w:val="21"/>
              </w:rPr>
            </w:pPr>
            <w:r>
              <w:rPr>
                <w:rFonts w:hint="eastAsia" w:ascii="Times New Roman" w:hAnsi="Times New Roman" w:eastAsia="仿宋_GB2312"/>
                <w:color w:val="000000"/>
                <w:kern w:val="0"/>
                <w:szCs w:val="21"/>
              </w:rPr>
              <w:t>声优诺、TAIDEN、双优</w:t>
            </w:r>
          </w:p>
        </w:tc>
      </w:tr>
    </w:tbl>
    <w:p w14:paraId="1FF9EDB0"/>
    <w:p w14:paraId="781DA2D5">
      <w:pPr>
        <w:autoSpaceDE w:val="0"/>
        <w:autoSpaceDN w:val="0"/>
        <w:adjustRightInd w:val="0"/>
        <w:spacing w:after="315" w:afterLines="100"/>
        <w:jc w:val="center"/>
        <w:outlineLvl w:val="0"/>
        <w:rPr>
          <w:rFonts w:hint="eastAsia" w:ascii="黑体" w:hAnsi="黑体" w:eastAsia="黑体" w:cs="黑体"/>
          <w:sz w:val="44"/>
          <w:szCs w:val="44"/>
          <w:lang w:val="zh-CN"/>
        </w:rPr>
        <w:sectPr>
          <w:footerReference r:id="rId5" w:type="default"/>
          <w:footerReference r:id="rId6" w:type="even"/>
          <w:pgSz w:w="16838" w:h="11906" w:orient="landscape"/>
          <w:pgMar w:top="1587" w:right="2098" w:bottom="1134" w:left="1985" w:header="851" w:footer="992" w:gutter="0"/>
          <w:pgNumType w:chapSep="emDash"/>
          <w:cols w:space="720" w:num="1"/>
          <w:docGrid w:type="lines" w:linePitch="315" w:charSpace="0"/>
        </w:sectPr>
      </w:pPr>
    </w:p>
    <w:p w14:paraId="2DA67729">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6AA0012B">
      <w:pPr>
        <w:pStyle w:val="5"/>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3F7CB807">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（一）报价表（附件1）</w:t>
      </w:r>
    </w:p>
    <w:p w14:paraId="34BE425B">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07D5B8C3">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1.营业执照（复印件加盖公章）</w:t>
      </w:r>
    </w:p>
    <w:p w14:paraId="1F355714">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2.法定代表人资格证明书（附件2）</w:t>
      </w:r>
    </w:p>
    <w:p w14:paraId="1B94AC2C">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3.法定代表人授权书（附件3）</w:t>
      </w:r>
    </w:p>
    <w:p w14:paraId="57A3CAF9">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（三）供应商承诺声明（附件4）</w:t>
      </w:r>
    </w:p>
    <w:p w14:paraId="060CAAA3">
      <w:pPr>
        <w:pStyle w:val="8"/>
        <w:tabs>
          <w:tab w:val="left" w:pos="1875"/>
        </w:tabs>
        <w:ind w:firstLine="0" w:firstLineChars="0"/>
        <w:rPr>
          <w:rFonts w:hint="eastAsia" w:ascii="楷体" w:hAnsi="楷体" w:eastAsia="楷体" w:cs="楷体"/>
          <w:color w:val="000000"/>
          <w:sz w:val="28"/>
          <w:szCs w:val="28"/>
        </w:rPr>
      </w:pPr>
      <w:r>
        <w:rPr>
          <w:rFonts w:hint="eastAsia" w:ascii="楷体" w:hAnsi="楷体" w:eastAsia="楷体" w:cs="楷体"/>
          <w:color w:val="000000"/>
          <w:sz w:val="28"/>
          <w:szCs w:val="28"/>
        </w:rPr>
        <w:t>（四）响应偏离表</w:t>
      </w:r>
      <w:r>
        <w:rPr>
          <w:rFonts w:hint="eastAsia" w:ascii="楷体" w:hAnsi="楷体" w:eastAsia="楷体" w:cs="楷体"/>
          <w:sz w:val="28"/>
          <w:szCs w:val="28"/>
        </w:rPr>
        <w:t>（附件5）</w:t>
      </w:r>
    </w:p>
    <w:p w14:paraId="5EEBF0D1">
      <w:pPr>
        <w:spacing w:line="560" w:lineRule="exact"/>
        <w:rPr>
          <w:rFonts w:hint="eastAsia" w:ascii="楷体" w:hAnsi="楷体" w:eastAsia="楷体" w:cs="楷体"/>
          <w:color w:val="000000"/>
          <w:sz w:val="28"/>
          <w:szCs w:val="28"/>
          <w:lang w:bidi="ar"/>
        </w:rPr>
      </w:pPr>
    </w:p>
    <w:p w14:paraId="42A41042">
      <w:pPr>
        <w:spacing w:line="560" w:lineRule="exact"/>
        <w:rPr>
          <w:rFonts w:hint="eastAsia" w:ascii="楷体" w:hAnsi="楷体" w:eastAsia="楷体" w:cs="楷体"/>
          <w:color w:val="000000"/>
          <w:sz w:val="28"/>
          <w:szCs w:val="28"/>
        </w:rPr>
      </w:pPr>
      <w:r>
        <w:rPr>
          <w:rFonts w:hint="eastAsia" w:ascii="楷体" w:hAnsi="楷体" w:eastAsia="楷体" w:cs="楷体"/>
          <w:color w:val="000000"/>
          <w:sz w:val="28"/>
          <w:szCs w:val="28"/>
          <w:lang w:bidi="ar"/>
        </w:rPr>
        <w:t>说明：</w:t>
      </w:r>
    </w:p>
    <w:p w14:paraId="2FCBA46A">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lang w:bidi="ar"/>
        </w:rPr>
        <w:t>未密封或者在规定时间内未送达我单位的一律拒绝收取。提交材料至少包含以上资料，缺少一项其报价作无效处理，所有资料需加盖供应商公章、完善相关签名并密封，未盖公章视为无效报价。</w:t>
      </w:r>
    </w:p>
    <w:p w14:paraId="09FA9D42">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lang w:bidi="ar"/>
        </w:rPr>
        <w:t>报价人须按上述统一格式及顺序向采购人提供《报价书》，否则可能被视为无效报价。</w:t>
      </w:r>
    </w:p>
    <w:p w14:paraId="1D04D794">
      <w:pPr>
        <w:pStyle w:val="8"/>
        <w:tabs>
          <w:tab w:val="left" w:pos="1875"/>
        </w:tabs>
        <w:ind w:left="0" w:leftChars="0" w:firstLine="560"/>
        <w:rPr>
          <w:rFonts w:hint="eastAsia" w:ascii="仿宋_GB2312" w:hAnsi="微软雅黑" w:eastAsia="仿宋_GB2312"/>
          <w:sz w:val="28"/>
          <w:szCs w:val="28"/>
        </w:rPr>
      </w:pPr>
      <w:r>
        <w:rPr>
          <w:rFonts w:hint="eastAsia" w:ascii="楷体" w:hAnsi="楷体" w:eastAsia="楷体" w:cs="楷体"/>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9"/>
        <w:tblW w:w="0" w:type="auto"/>
        <w:jc w:val="center"/>
        <w:tblLayout w:type="fixed"/>
        <w:tblCellMar>
          <w:top w:w="0" w:type="dxa"/>
          <w:left w:w="108" w:type="dxa"/>
          <w:bottom w:w="0" w:type="dxa"/>
          <w:right w:w="108" w:type="dxa"/>
        </w:tblCellMar>
      </w:tblPr>
      <w:tblGrid>
        <w:gridCol w:w="2050"/>
        <w:gridCol w:w="2710"/>
        <w:gridCol w:w="2292"/>
        <w:gridCol w:w="1908"/>
      </w:tblGrid>
      <w:tr w14:paraId="19006E21">
        <w:tblPrEx>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000000" w:sz="2" w:space="0"/>
              <w:right w:val="nil"/>
            </w:tcBorders>
            <w:noWrap w:val="0"/>
            <w:vAlign w:val="center"/>
          </w:tcPr>
          <w:p w14:paraId="46AA7045">
            <w:pPr>
              <w:widowControl/>
              <w:jc w:val="center"/>
              <w:rPr>
                <w:rFonts w:hint="eastAsia" w:ascii="黑体" w:hAnsi="黑体" w:eastAsia="黑体" w:cs="黑体"/>
                <w:color w:val="000000"/>
                <w:sz w:val="44"/>
                <w:szCs w:val="44"/>
              </w:rPr>
            </w:pPr>
            <w:r>
              <w:rPr>
                <w:rFonts w:hint="eastAsia" w:ascii="黑体" w:hAnsi="黑体" w:eastAsia="黑体" w:cs="黑体"/>
                <w:color w:val="000000"/>
                <w:sz w:val="44"/>
                <w:szCs w:val="44"/>
              </w:rPr>
              <w:t>报价表</w:t>
            </w:r>
          </w:p>
        </w:tc>
      </w:tr>
      <w:tr w14:paraId="4F2F42D0">
        <w:tblPrEx>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noWrap w:val="0"/>
            <w:vAlign w:val="center"/>
          </w:tcPr>
          <w:p w14:paraId="682E954C">
            <w:pPr>
              <w:widowControl/>
              <w:jc w:val="left"/>
              <w:rPr>
                <w:rFonts w:ascii="方正小标宋简体" w:hAnsi="宋体" w:eastAsia="方正小标宋简体" w:cs="宋体"/>
                <w:color w:val="000000"/>
                <w:sz w:val="44"/>
                <w:szCs w:val="44"/>
              </w:rPr>
            </w:pPr>
          </w:p>
        </w:tc>
      </w:tr>
      <w:tr w14:paraId="1EF96267">
        <w:tblPrEx>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noWrap w:val="0"/>
            <w:vAlign w:val="center"/>
          </w:tcPr>
          <w:p w14:paraId="3F665217">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5002" w:type="dxa"/>
            <w:gridSpan w:val="2"/>
            <w:tcBorders>
              <w:top w:val="double" w:color="auto" w:sz="2" w:space="0"/>
              <w:left w:val="nil"/>
              <w:bottom w:val="double" w:color="auto" w:sz="2" w:space="0"/>
              <w:right w:val="single" w:color="auto" w:sz="4" w:space="0"/>
            </w:tcBorders>
            <w:noWrap w:val="0"/>
            <w:vAlign w:val="center"/>
          </w:tcPr>
          <w:p w14:paraId="0E567F4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产品（服务）明细</w:t>
            </w:r>
          </w:p>
        </w:tc>
        <w:tc>
          <w:tcPr>
            <w:tcW w:w="1908" w:type="dxa"/>
            <w:tcBorders>
              <w:top w:val="double" w:color="auto" w:sz="2" w:space="0"/>
              <w:left w:val="nil"/>
              <w:bottom w:val="double" w:color="auto" w:sz="2" w:space="0"/>
              <w:right w:val="double" w:color="auto" w:sz="2" w:space="0"/>
            </w:tcBorders>
            <w:noWrap w:val="0"/>
            <w:vAlign w:val="center"/>
          </w:tcPr>
          <w:p w14:paraId="697C1813">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3EBCBDD1">
        <w:tblPrEx>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noWrap w:val="0"/>
            <w:vAlign w:val="center"/>
          </w:tcPr>
          <w:p w14:paraId="2780698D">
            <w:pPr>
              <w:widowControl/>
              <w:shd w:val="clear" w:color="auto" w:fill="FFFFFF"/>
              <w:spacing w:line="555" w:lineRule="atLeast"/>
              <w:jc w:val="center"/>
              <w:rPr>
                <w:rFonts w:hint="eastAsia" w:ascii="黑体" w:hAnsi="黑体" w:eastAsia="黑体" w:cs="宋体"/>
                <w:color w:val="000000"/>
                <w:sz w:val="30"/>
                <w:szCs w:val="30"/>
              </w:rPr>
            </w:pPr>
            <w:bookmarkStart w:id="0" w:name="_GoBack"/>
            <w:r>
              <w:rPr>
                <w:rFonts w:hint="eastAsia" w:ascii="黑体" w:hAnsi="黑体" w:eastAsia="黑体" w:cs="宋体"/>
                <w:color w:val="000000"/>
                <w:sz w:val="30"/>
                <w:szCs w:val="30"/>
              </w:rPr>
              <w:t>某单位</w:t>
            </w:r>
          </w:p>
          <w:p w14:paraId="20E704FA">
            <w:pPr>
              <w:widowControl/>
              <w:shd w:val="clear" w:color="auto" w:fill="FFFFFF"/>
              <w:spacing w:line="555" w:lineRule="atLeast"/>
              <w:jc w:val="center"/>
              <w:rPr>
                <w:rFonts w:hint="eastAsia" w:ascii="黑体" w:hAnsi="黑体" w:eastAsia="黑体" w:cs="宋体"/>
                <w:color w:val="000000"/>
                <w:sz w:val="30"/>
                <w:szCs w:val="30"/>
              </w:rPr>
            </w:pPr>
            <w:r>
              <w:rPr>
                <w:rFonts w:hint="eastAsia" w:ascii="黑体" w:hAnsi="黑体" w:eastAsia="黑体" w:cs="宋体"/>
                <w:color w:val="000000"/>
                <w:sz w:val="30"/>
                <w:szCs w:val="30"/>
              </w:rPr>
              <w:t>广播系统</w:t>
            </w:r>
          </w:p>
          <w:p w14:paraId="688B7D77">
            <w:pPr>
              <w:widowControl/>
              <w:shd w:val="clear" w:color="auto" w:fill="FFFFFF"/>
              <w:spacing w:line="555" w:lineRule="atLeast"/>
              <w:jc w:val="center"/>
              <w:rPr>
                <w:rFonts w:hint="eastAsia" w:ascii="黑体" w:hAnsi="黑体" w:eastAsia="黑体"/>
                <w:sz w:val="28"/>
                <w:szCs w:val="28"/>
                <w:lang w:eastAsia="zh-CN"/>
              </w:rPr>
            </w:pPr>
            <w:r>
              <w:rPr>
                <w:rFonts w:hint="eastAsia" w:ascii="黑体" w:hAnsi="黑体" w:eastAsia="黑体" w:cs="宋体"/>
                <w:color w:val="000000"/>
                <w:sz w:val="30"/>
                <w:szCs w:val="30"/>
                <w:lang w:eastAsia="zh-CN"/>
              </w:rPr>
              <w:t>（</w:t>
            </w:r>
            <w:r>
              <w:rPr>
                <w:rFonts w:hint="eastAsia" w:ascii="黑体" w:hAnsi="黑体" w:eastAsia="黑体" w:cs="宋体"/>
                <w:color w:val="000000"/>
                <w:sz w:val="30"/>
                <w:szCs w:val="30"/>
                <w:lang w:val="en-US" w:eastAsia="zh-CN"/>
              </w:rPr>
              <w:t>第二次</w:t>
            </w:r>
            <w:r>
              <w:rPr>
                <w:rFonts w:hint="eastAsia" w:ascii="黑体" w:hAnsi="黑体" w:eastAsia="黑体" w:cs="宋体"/>
                <w:color w:val="000000"/>
                <w:sz w:val="30"/>
                <w:szCs w:val="30"/>
                <w:lang w:eastAsia="zh-CN"/>
              </w:rPr>
              <w:t>）</w:t>
            </w:r>
            <w:bookmarkEnd w:id="0"/>
          </w:p>
        </w:tc>
        <w:tc>
          <w:tcPr>
            <w:tcW w:w="5002" w:type="dxa"/>
            <w:gridSpan w:val="2"/>
            <w:tcBorders>
              <w:top w:val="double" w:color="auto" w:sz="2" w:space="0"/>
              <w:left w:val="nil"/>
              <w:bottom w:val="single" w:color="auto" w:sz="4" w:space="0"/>
              <w:right w:val="single" w:color="auto" w:sz="4" w:space="0"/>
            </w:tcBorders>
            <w:noWrap w:val="0"/>
            <w:vAlign w:val="center"/>
          </w:tcPr>
          <w:p w14:paraId="705AC059">
            <w:pPr>
              <w:pStyle w:val="7"/>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noWrap w:val="0"/>
            <w:vAlign w:val="center"/>
          </w:tcPr>
          <w:p w14:paraId="28FEC366">
            <w:pPr>
              <w:jc w:val="left"/>
              <w:rPr>
                <w:rFonts w:ascii="仿宋_GB2312" w:hAnsi="仿宋_GB2312" w:eastAsia="仿宋_GB2312" w:cs="仿宋_GB2312"/>
                <w:color w:val="000000"/>
                <w:sz w:val="30"/>
                <w:szCs w:val="30"/>
              </w:rPr>
            </w:pPr>
          </w:p>
        </w:tc>
      </w:tr>
      <w:tr w14:paraId="65A3FBDB">
        <w:tblPrEx>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6E3A5FBA">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报价时间</w:t>
            </w:r>
          </w:p>
        </w:tc>
        <w:tc>
          <w:tcPr>
            <w:tcW w:w="6910" w:type="dxa"/>
            <w:gridSpan w:val="3"/>
            <w:tcBorders>
              <w:top w:val="single" w:color="auto" w:sz="4" w:space="0"/>
              <w:left w:val="nil"/>
              <w:bottom w:val="single" w:color="auto" w:sz="4" w:space="0"/>
              <w:right w:val="double" w:color="auto" w:sz="2" w:space="0"/>
            </w:tcBorders>
            <w:noWrap w:val="0"/>
            <w:vAlign w:val="center"/>
          </w:tcPr>
          <w:p w14:paraId="75FACF20">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2026年  月  日    时  分</w:t>
            </w:r>
          </w:p>
        </w:tc>
      </w:tr>
      <w:tr w14:paraId="24862277">
        <w:tblPrEx>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243D45DA">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报价地点</w:t>
            </w:r>
          </w:p>
        </w:tc>
        <w:tc>
          <w:tcPr>
            <w:tcW w:w="6910" w:type="dxa"/>
            <w:gridSpan w:val="3"/>
            <w:tcBorders>
              <w:top w:val="single" w:color="auto" w:sz="4" w:space="0"/>
              <w:left w:val="nil"/>
              <w:bottom w:val="single" w:color="auto" w:sz="4" w:space="0"/>
              <w:right w:val="double" w:color="auto" w:sz="2" w:space="0"/>
            </w:tcBorders>
            <w:noWrap w:val="0"/>
            <w:vAlign w:val="center"/>
          </w:tcPr>
          <w:p w14:paraId="4494CE0C">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以采购方通知为准</w:t>
            </w:r>
          </w:p>
        </w:tc>
      </w:tr>
      <w:tr w14:paraId="13759A29">
        <w:tblPrEx>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4A81C604">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报价方式</w:t>
            </w:r>
          </w:p>
        </w:tc>
        <w:tc>
          <w:tcPr>
            <w:tcW w:w="6910" w:type="dxa"/>
            <w:gridSpan w:val="3"/>
            <w:tcBorders>
              <w:top w:val="single" w:color="auto" w:sz="4" w:space="0"/>
              <w:left w:val="nil"/>
              <w:bottom w:val="single" w:color="auto" w:sz="4" w:space="0"/>
              <w:right w:val="double" w:color="auto" w:sz="2" w:space="0"/>
            </w:tcBorders>
            <w:noWrap w:val="0"/>
            <w:vAlign w:val="center"/>
          </w:tcPr>
          <w:p w14:paraId="25FFBA5C">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邮寄/现场递交</w:t>
            </w:r>
          </w:p>
        </w:tc>
      </w:tr>
      <w:tr w14:paraId="0B0F9074">
        <w:tblPrEx>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noWrap w:val="0"/>
            <w:vAlign w:val="center"/>
          </w:tcPr>
          <w:p w14:paraId="2AFD46E1">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报价人</w:t>
            </w:r>
          </w:p>
        </w:tc>
        <w:tc>
          <w:tcPr>
            <w:tcW w:w="2710" w:type="dxa"/>
            <w:vMerge w:val="restart"/>
            <w:tcBorders>
              <w:top w:val="nil"/>
              <w:left w:val="nil"/>
              <w:bottom w:val="single" w:color="auto" w:sz="4" w:space="0"/>
              <w:right w:val="single" w:color="auto" w:sz="4" w:space="0"/>
            </w:tcBorders>
            <w:noWrap w:val="0"/>
            <w:vAlign w:val="center"/>
          </w:tcPr>
          <w:p w14:paraId="27B5578A">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noWrap w:val="0"/>
            <w:vAlign w:val="center"/>
          </w:tcPr>
          <w:p w14:paraId="44A9BA49">
            <w:pPr>
              <w:widowControl/>
              <w:rPr>
                <w:rFonts w:ascii="宋体" w:hAnsi="宋体"/>
                <w:color w:val="000000"/>
                <w:sz w:val="36"/>
                <w:szCs w:val="36"/>
              </w:rPr>
            </w:pPr>
            <w:r>
              <w:rPr>
                <w:rFonts w:hint="eastAsia" w:ascii="黑体" w:hAnsi="黑体" w:eastAsia="黑体" w:cs="宋体"/>
                <w:color w:val="000000"/>
                <w:sz w:val="32"/>
                <w:szCs w:val="32"/>
              </w:rPr>
              <w:t>联系电话：</w:t>
            </w:r>
          </w:p>
        </w:tc>
      </w:tr>
      <w:tr w14:paraId="378011E5">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714D5244">
            <w:pPr>
              <w:widowControl/>
              <w:jc w:val="left"/>
              <w:rPr>
                <w:rFonts w:ascii="黑体" w:hAnsi="黑体" w:eastAsia="黑体" w:cs="宋体"/>
                <w:color w:val="000000"/>
                <w:sz w:val="30"/>
                <w:szCs w:val="30"/>
              </w:rPr>
            </w:pPr>
          </w:p>
        </w:tc>
        <w:tc>
          <w:tcPr>
            <w:tcW w:w="2710" w:type="dxa"/>
            <w:vMerge w:val="continue"/>
            <w:tcBorders>
              <w:top w:val="nil"/>
              <w:left w:val="nil"/>
              <w:bottom w:val="single" w:color="auto" w:sz="4" w:space="0"/>
              <w:right w:val="single" w:color="auto" w:sz="4" w:space="0"/>
            </w:tcBorders>
            <w:noWrap w:val="0"/>
            <w:vAlign w:val="center"/>
          </w:tcPr>
          <w:p w14:paraId="07071C1B">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24E012D1">
            <w:pPr>
              <w:widowControl/>
              <w:jc w:val="left"/>
              <w:rPr>
                <w:rFonts w:ascii="宋体" w:hAnsi="宋体"/>
                <w:color w:val="000000"/>
                <w:sz w:val="36"/>
                <w:szCs w:val="36"/>
              </w:rPr>
            </w:pPr>
          </w:p>
        </w:tc>
      </w:tr>
      <w:tr w14:paraId="41C82A16">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0F7878D9">
            <w:pPr>
              <w:widowControl/>
              <w:jc w:val="left"/>
              <w:rPr>
                <w:rFonts w:ascii="黑体" w:hAnsi="黑体" w:eastAsia="黑体" w:cs="宋体"/>
                <w:color w:val="000000"/>
                <w:sz w:val="30"/>
                <w:szCs w:val="30"/>
              </w:rPr>
            </w:pPr>
          </w:p>
        </w:tc>
        <w:tc>
          <w:tcPr>
            <w:tcW w:w="2710" w:type="dxa"/>
            <w:vMerge w:val="continue"/>
            <w:tcBorders>
              <w:top w:val="nil"/>
              <w:left w:val="nil"/>
              <w:bottom w:val="single" w:color="auto" w:sz="4" w:space="0"/>
              <w:right w:val="single" w:color="auto" w:sz="4" w:space="0"/>
            </w:tcBorders>
            <w:noWrap w:val="0"/>
            <w:vAlign w:val="center"/>
          </w:tcPr>
          <w:p w14:paraId="04DA8D11">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4E960C30">
            <w:pPr>
              <w:widowControl/>
              <w:jc w:val="left"/>
              <w:rPr>
                <w:rFonts w:ascii="宋体" w:hAnsi="宋体"/>
                <w:color w:val="000000"/>
                <w:sz w:val="36"/>
                <w:szCs w:val="36"/>
              </w:rPr>
            </w:pPr>
          </w:p>
        </w:tc>
      </w:tr>
      <w:tr w14:paraId="6CCE42F7">
        <w:tblPrEx>
          <w:tblCellMar>
            <w:top w:w="0" w:type="dxa"/>
            <w:left w:w="108" w:type="dxa"/>
            <w:bottom w:w="0" w:type="dxa"/>
            <w:right w:w="108" w:type="dxa"/>
          </w:tblCellMar>
        </w:tblPrEx>
        <w:trPr>
          <w:trHeight w:val="1498" w:hRule="atLeast"/>
          <w:jc w:val="center"/>
        </w:trPr>
        <w:tc>
          <w:tcPr>
            <w:tcW w:w="2050" w:type="dxa"/>
            <w:tcBorders>
              <w:top w:val="single" w:color="auto" w:sz="4" w:space="0"/>
              <w:left w:val="double" w:color="auto" w:sz="2" w:space="0"/>
              <w:bottom w:val="double" w:color="auto" w:sz="2" w:space="0"/>
              <w:right w:val="single" w:color="auto" w:sz="4" w:space="0"/>
            </w:tcBorders>
            <w:noWrap w:val="0"/>
            <w:vAlign w:val="center"/>
          </w:tcPr>
          <w:p w14:paraId="7176D04E">
            <w:pPr>
              <w:widowControl/>
              <w:jc w:val="center"/>
              <w:rPr>
                <w:rFonts w:ascii="黑体" w:hAnsi="黑体" w:eastAsia="黑体" w:cs="宋体"/>
                <w:color w:val="000000"/>
                <w:sz w:val="30"/>
                <w:szCs w:val="30"/>
              </w:rPr>
            </w:pPr>
            <w:r>
              <w:rPr>
                <w:rFonts w:hint="eastAsia" w:ascii="黑体" w:hAnsi="黑体" w:eastAsia="黑体" w:cs="宋体"/>
                <w:color w:val="000000"/>
                <w:sz w:val="30"/>
                <w:szCs w:val="30"/>
              </w:rPr>
              <w:t>报价单位</w:t>
            </w:r>
          </w:p>
        </w:tc>
        <w:tc>
          <w:tcPr>
            <w:tcW w:w="6910" w:type="dxa"/>
            <w:gridSpan w:val="3"/>
            <w:tcBorders>
              <w:top w:val="single" w:color="auto" w:sz="4" w:space="0"/>
              <w:left w:val="nil"/>
              <w:bottom w:val="double" w:color="auto" w:sz="2" w:space="0"/>
              <w:right w:val="double" w:color="auto" w:sz="2" w:space="0"/>
            </w:tcBorders>
            <w:noWrap w:val="0"/>
            <w:vAlign w:val="center"/>
          </w:tcPr>
          <w:p w14:paraId="07DC7D27">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7B178B9E">
      <w:pPr>
        <w:pStyle w:val="8"/>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8"/>
          <w:szCs w:val="28"/>
        </w:rPr>
        <w:t>注：未完全响应的，按无效报价处理。若有正偏离，可在</w:t>
      </w:r>
      <w:r>
        <w:rPr>
          <w:rFonts w:hint="eastAsia" w:ascii="黑体" w:hAnsi="黑体" w:eastAsia="黑体" w:cs="宋体"/>
          <w:color w:val="000000"/>
          <w:sz w:val="32"/>
          <w:szCs w:val="32"/>
        </w:rPr>
        <w:t>明细栏</w:t>
      </w:r>
      <w:r>
        <w:rPr>
          <w:rFonts w:hint="eastAsia" w:ascii="微软雅黑" w:hAnsi="微软雅黑" w:eastAsia="微软雅黑"/>
          <w:sz w:val="28"/>
          <w:szCs w:val="28"/>
        </w:rPr>
        <w:t>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678F0678">
      <w:pPr>
        <w:jc w:val="center"/>
        <w:rPr>
          <w:rFonts w:hint="eastAsia" w:ascii="黑体" w:hAnsi="黑体" w:eastAsia="黑体" w:cs="黑体"/>
          <w:bCs/>
          <w:sz w:val="44"/>
          <w:szCs w:val="44"/>
        </w:rPr>
      </w:pPr>
      <w:r>
        <w:rPr>
          <w:rFonts w:hint="eastAsia" w:ascii="黑体" w:hAnsi="黑体" w:eastAsia="黑体" w:cs="黑体"/>
          <w:bCs/>
          <w:sz w:val="44"/>
          <w:szCs w:val="44"/>
        </w:rPr>
        <w:t>法定代表人资格证明书</w:t>
      </w:r>
    </w:p>
    <w:p w14:paraId="145AD4A8">
      <w:pPr>
        <w:jc w:val="center"/>
        <w:rPr>
          <w:rFonts w:hint="eastAsia" w:eastAsia="华文中宋"/>
          <w:bCs/>
          <w:sz w:val="44"/>
        </w:rPr>
      </w:pPr>
    </w:p>
    <w:p w14:paraId="72A8B59B">
      <w:pPr>
        <w:ind w:firstLine="560" w:firstLineChars="200"/>
        <w:rPr>
          <w:rFonts w:eastAsia="楷体_GB2312"/>
          <w:sz w:val="28"/>
          <w:szCs w:val="28"/>
        </w:rPr>
      </w:pPr>
    </w:p>
    <w:p w14:paraId="433577B8">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616359C4">
      <w:pPr>
        <w:ind w:firstLine="560" w:firstLineChars="200"/>
        <w:rPr>
          <w:rFonts w:hint="eastAsia" w:ascii="仿宋_GB2312" w:hAnsi="微软雅黑" w:eastAsia="仿宋_GB2312"/>
          <w:sz w:val="28"/>
          <w:szCs w:val="28"/>
        </w:rPr>
      </w:pPr>
    </w:p>
    <w:p w14:paraId="22017CD3">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72477B63">
      <w:pPr>
        <w:pStyle w:val="8"/>
        <w:rPr>
          <w:rFonts w:hint="eastAsia" w:ascii="仿宋_GB2312" w:eastAsia="仿宋_GB2312"/>
        </w:rPr>
      </w:pPr>
    </w:p>
    <w:p w14:paraId="26904F89">
      <w:pPr>
        <w:pStyle w:val="8"/>
        <w:rPr>
          <w:rFonts w:hint="eastAsia" w:ascii="仿宋_GB2312" w:eastAsia="仿宋_GB2312"/>
        </w:rPr>
      </w:pPr>
    </w:p>
    <w:p w14:paraId="0FD17506">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323725C">
                            <w:pPr>
                              <w:jc w:val="center"/>
                              <w:rPr>
                                <w:rFonts w:ascii="宋体"/>
                              </w:rPr>
                            </w:pPr>
                          </w:p>
                          <w:p w14:paraId="72355E90">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139EA059">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fillcolor="#FFFFFF" filled="t" stroked="t"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erUytUAAAAJAQAADwAA&#10;AAAAAAABACAAAAAiAAAAZHJzL2Rvd25yZXYueG1sUEsBAhQAFAAAAAgAh07iQJcOWrcZAgAAUQQA&#10;AA4AAAAAAAAAAQAgAAAAJAEAAGRycy9lMm9Eb2MueG1sUEsFBgAAAAAGAAYAWQEAAK8FAAAAAA==&#10;">
                <v:fill on="t" focussize="0,0"/>
                <v:stroke color="#000000" joinstyle="miter" dashstyle="dash"/>
                <v:imagedata o:title=""/>
                <o:lock v:ext="edit" aspectratio="f"/>
                <v:textbox>
                  <w:txbxContent>
                    <w:p w14:paraId="5323725C">
                      <w:pPr>
                        <w:jc w:val="center"/>
                        <w:rPr>
                          <w:rFonts w:ascii="宋体"/>
                        </w:rPr>
                      </w:pPr>
                    </w:p>
                    <w:p w14:paraId="72355E90">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139EA059">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A25EE23">
                            <w:pPr>
                              <w:jc w:val="center"/>
                              <w:rPr>
                                <w:rFonts w:ascii="宋体"/>
                              </w:rPr>
                            </w:pPr>
                          </w:p>
                          <w:p w14:paraId="19382567">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046E4904">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fillcolor="#FFFFFF" filled="t" stroked="t"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It+oTVAAAACgEAAA8A&#10;AAAAAAAAAQAgAAAAIgAAAGRycy9kb3ducmV2LnhtbFBLAQIUABQAAAAIAIdO4kBYHno7GgIAAFEE&#10;AAAOAAAAAAAAAAEAIAAAACQBAABkcnMvZTJvRG9jLnhtbFBLBQYAAAAABgAGAFkBAACwBQAAAAA=&#10;">
                <v:fill on="t" focussize="0,0"/>
                <v:stroke color="#000000" joinstyle="miter" dashstyle="dash"/>
                <v:imagedata o:title=""/>
                <o:lock v:ext="edit" aspectratio="f"/>
                <v:textbox>
                  <w:txbxContent>
                    <w:p w14:paraId="2A25EE23">
                      <w:pPr>
                        <w:jc w:val="center"/>
                        <w:rPr>
                          <w:rFonts w:ascii="宋体"/>
                        </w:rPr>
                      </w:pPr>
                    </w:p>
                    <w:p w14:paraId="19382567">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046E4904">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75EDC244">
      <w:pPr>
        <w:ind w:firstLine="560" w:firstLineChars="200"/>
        <w:rPr>
          <w:rFonts w:hint="eastAsia" w:ascii="仿宋_GB2312" w:eastAsia="仿宋_GB2312"/>
          <w:sz w:val="28"/>
          <w:szCs w:val="28"/>
        </w:rPr>
      </w:pPr>
    </w:p>
    <w:p w14:paraId="32512819">
      <w:pPr>
        <w:rPr>
          <w:rFonts w:hint="eastAsia" w:ascii="仿宋_GB2312" w:eastAsia="仿宋_GB2312"/>
          <w:sz w:val="28"/>
          <w:szCs w:val="28"/>
        </w:rPr>
      </w:pPr>
    </w:p>
    <w:p w14:paraId="3AA89B8F">
      <w:pPr>
        <w:rPr>
          <w:rFonts w:hint="eastAsia" w:ascii="仿宋_GB2312" w:eastAsia="仿宋_GB2312"/>
          <w:sz w:val="28"/>
          <w:szCs w:val="28"/>
        </w:rPr>
      </w:pPr>
    </w:p>
    <w:p w14:paraId="7A1D92C0">
      <w:pPr>
        <w:rPr>
          <w:rFonts w:hint="eastAsia" w:ascii="仿宋_GB2312" w:eastAsia="仿宋_GB2312"/>
          <w:sz w:val="28"/>
          <w:szCs w:val="28"/>
        </w:rPr>
      </w:pPr>
    </w:p>
    <w:p w14:paraId="094C301E">
      <w:pPr>
        <w:rPr>
          <w:rFonts w:hint="eastAsia" w:ascii="仿宋_GB2312" w:eastAsia="仿宋_GB2312"/>
          <w:sz w:val="28"/>
          <w:szCs w:val="28"/>
        </w:rPr>
      </w:pPr>
    </w:p>
    <w:p w14:paraId="74899AF8">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7E5DC2BF">
      <w:pPr>
        <w:jc w:val="left"/>
        <w:rPr>
          <w:rFonts w:hint="eastAsia" w:ascii="仿宋_GB2312" w:hAnsi="微软雅黑" w:eastAsia="仿宋_GB2312"/>
          <w:sz w:val="28"/>
          <w:szCs w:val="28"/>
        </w:rPr>
      </w:pPr>
    </w:p>
    <w:p w14:paraId="6D7129BD">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2486811F">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Ansi="微软雅黑"/>
          <w:sz w:val="28"/>
          <w:szCs w:val="28"/>
        </w:rPr>
        <w:t>附件3</w:t>
      </w:r>
    </w:p>
    <w:p w14:paraId="7CE57CFD">
      <w:pPr>
        <w:jc w:val="center"/>
        <w:rPr>
          <w:rFonts w:hint="eastAsia" w:ascii="黑体" w:hAnsi="黑体" w:eastAsia="黑体" w:cs="黑体"/>
          <w:bCs/>
          <w:sz w:val="44"/>
          <w:szCs w:val="44"/>
        </w:rPr>
      </w:pPr>
      <w:r>
        <w:rPr>
          <w:rFonts w:hint="eastAsia" w:ascii="黑体" w:hAnsi="黑体" w:eastAsia="黑体" w:cs="黑体"/>
          <w:bCs/>
          <w:sz w:val="44"/>
          <w:szCs w:val="44"/>
        </w:rPr>
        <w:t>法定代表人授权书</w:t>
      </w:r>
    </w:p>
    <w:p w14:paraId="55240F4B">
      <w:pPr>
        <w:pStyle w:val="8"/>
        <w:ind w:left="0" w:leftChars="0" w:firstLine="0" w:firstLineChars="0"/>
        <w:jc w:val="center"/>
        <w:rPr>
          <w:rFonts w:hint="eastAsia"/>
          <w:color w:val="FF0000"/>
          <w:sz w:val="28"/>
          <w:szCs w:val="28"/>
        </w:rPr>
      </w:pPr>
      <w:r>
        <w:rPr>
          <w:rFonts w:hint="eastAsia"/>
          <w:color w:val="FF0000"/>
          <w:sz w:val="28"/>
          <w:szCs w:val="28"/>
        </w:rPr>
        <w:t>（如有授权填写）</w:t>
      </w:r>
    </w:p>
    <w:p w14:paraId="03FE498E">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53C2D5ED">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67658868">
      <w:pPr>
        <w:spacing w:line="560" w:lineRule="exact"/>
        <w:ind w:firstLine="600"/>
        <w:rPr>
          <w:rFonts w:hint="eastAsia" w:ascii="仿宋_GB2312" w:hAnsi="微软雅黑" w:eastAsia="仿宋_GB2312"/>
          <w:sz w:val="28"/>
          <w:szCs w:val="28"/>
        </w:rPr>
      </w:pPr>
    </w:p>
    <w:p w14:paraId="25AACCD2">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530DAC12">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18B1AD7D">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44537F19">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7261E784">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4D104320">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49B55130">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38C072C3">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730B0D1F">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48905EC2">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1524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8CEA097">
                            <w:pPr>
                              <w:jc w:val="center"/>
                              <w:rPr>
                                <w:rFonts w:ascii="宋体"/>
                              </w:rPr>
                            </w:pPr>
                          </w:p>
                          <w:p w14:paraId="0F600EE1">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271E3EB">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fillcolor="#FFFFFF" filled="t" stroked="t"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x+uXtYAAAAKAQAA&#10;DwAAAAAAAAABACAAAAAiAAAAZHJzL2Rvd25yZXYueG1sUEsBAhQAFAAAAAgAh07iQIc5S/gbAgAA&#10;UQQAAA4AAAAAAAAAAQAgAAAAJQEAAGRycy9lMm9Eb2MueG1sUEsFBgAAAAAGAAYAWQEAALIFAAAA&#10;AA==&#10;">
                <v:fill on="t" focussize="0,0"/>
                <v:stroke color="#000000" joinstyle="miter" dashstyle="dash"/>
                <v:imagedata o:title=""/>
                <o:lock v:ext="edit" aspectratio="f"/>
                <v:textbox>
                  <w:txbxContent>
                    <w:p w14:paraId="58CEA097">
                      <w:pPr>
                        <w:jc w:val="center"/>
                        <w:rPr>
                          <w:rFonts w:ascii="宋体"/>
                        </w:rPr>
                      </w:pPr>
                    </w:p>
                    <w:p w14:paraId="0F600EE1">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271E3EB">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1524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95420E9">
                            <w:pPr>
                              <w:jc w:val="center"/>
                              <w:rPr>
                                <w:rFonts w:ascii="宋体"/>
                              </w:rPr>
                            </w:pPr>
                          </w:p>
                          <w:p w14:paraId="63DBCE3A">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E227B7E">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fillcolor="#FFFFFF" filled="t" stroked="t"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grjRdYAAAAJAQAA&#10;DwAAAAAAAAABACAAAAAiAAAAZHJzL2Rvd25yZXYueG1sUEsBAhQAFAAAAAgAh07iQCLsSvYbAgAA&#10;UQQAAA4AAAAAAAAAAQAgAAAAJQEAAGRycy9lMm9Eb2MueG1sUEsFBgAAAAAGAAYAWQEAALIFAAAA&#10;AA==&#10;">
                <v:fill on="t" focussize="0,0"/>
                <v:stroke color="#000000" joinstyle="miter" dashstyle="dash"/>
                <v:imagedata o:title=""/>
                <o:lock v:ext="edit" aspectratio="f"/>
                <v:textbox>
                  <w:txbxContent>
                    <w:p w14:paraId="295420E9">
                      <w:pPr>
                        <w:jc w:val="center"/>
                        <w:rPr>
                          <w:rFonts w:ascii="宋体"/>
                        </w:rPr>
                      </w:pPr>
                    </w:p>
                    <w:p w14:paraId="63DBCE3A">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E227B7E">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1A58C21E">
      <w:pPr>
        <w:spacing w:line="560" w:lineRule="exact"/>
        <w:ind w:firstLine="573"/>
        <w:rPr>
          <w:rFonts w:hint="eastAsia" w:ascii="仿宋_GB2312" w:eastAsia="仿宋_GB2312"/>
        </w:rPr>
      </w:pPr>
    </w:p>
    <w:p w14:paraId="64416128">
      <w:pPr>
        <w:spacing w:line="560" w:lineRule="exact"/>
        <w:ind w:firstLine="573"/>
        <w:rPr>
          <w:rFonts w:hint="eastAsia" w:ascii="仿宋_GB2312" w:eastAsia="仿宋_GB2312"/>
        </w:rPr>
      </w:pPr>
    </w:p>
    <w:p w14:paraId="07F467AF">
      <w:pPr>
        <w:spacing w:line="560" w:lineRule="exact"/>
        <w:ind w:firstLine="573"/>
        <w:rPr>
          <w:rFonts w:hint="eastAsia" w:ascii="仿宋_GB2312" w:eastAsia="仿宋_GB2312"/>
        </w:rPr>
      </w:pPr>
    </w:p>
    <w:p w14:paraId="03A064F1">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033A7772">
      <w:pPr>
        <w:jc w:val="center"/>
        <w:rPr>
          <w:rFonts w:hint="eastAsia" w:ascii="黑体" w:hAnsi="黑体" w:eastAsia="黑体" w:cs="黑体"/>
          <w:bCs/>
          <w:sz w:val="44"/>
          <w:szCs w:val="44"/>
        </w:rPr>
      </w:pPr>
      <w:r>
        <w:rPr>
          <w:rFonts w:hint="eastAsia" w:ascii="黑体" w:hAnsi="黑体" w:eastAsia="黑体" w:cs="黑体"/>
          <w:bCs/>
          <w:sz w:val="44"/>
          <w:szCs w:val="44"/>
        </w:rPr>
        <w:t>供应商承诺声明</w:t>
      </w:r>
    </w:p>
    <w:p w14:paraId="3DFE4B26">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3C172B1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69F064B6">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2C12DFA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1DC58FDC">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5E8A8DD9">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25FAE972">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620191B6">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3CB6BC3F">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39E487E1">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0711825B">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022F6654">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320EAD1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74730CD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5C59A6F9">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500251C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3D85EC89">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392255B2">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718160A8">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6CE513FA">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4C999AEB">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64E1FD16">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5A847B54">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56006D2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09560BD8">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2913804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八、履约承诺</w:t>
      </w:r>
    </w:p>
    <w:p w14:paraId="03B023A5">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60595EAE">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5ED15188">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72A00ADA">
      <w:pPr>
        <w:widowControl/>
        <w:autoSpaceDE w:val="0"/>
        <w:autoSpaceDN w:val="0"/>
        <w:adjustRightInd w:val="0"/>
        <w:spacing w:line="600" w:lineRule="exact"/>
        <w:ind w:firstLine="560" w:firstLineChars="200"/>
        <w:rPr>
          <w:rFonts w:hint="eastAsia" w:ascii="仿宋_GB2312" w:eastAsia="仿宋_GB2312"/>
          <w:sz w:val="28"/>
          <w:szCs w:val="28"/>
        </w:rPr>
      </w:pPr>
    </w:p>
    <w:p w14:paraId="6BDBEEC2">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2CFE7753">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6D0D219E">
      <w:pPr>
        <w:pStyle w:val="4"/>
        <w:ind w:left="0" w:leftChars="0"/>
        <w:rPr>
          <w:rFonts w:hint="eastAsia"/>
        </w:rPr>
      </w:pPr>
    </w:p>
    <w:p w14:paraId="7B33B7A5">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47836303">
      <w:pPr>
        <w:spacing w:line="560" w:lineRule="exact"/>
        <w:rPr>
          <w:rFonts w:hint="eastAsia" w:ascii="仿宋_GB2312" w:hAnsi="微软雅黑" w:eastAsia="仿宋_GB2312"/>
          <w:sz w:val="28"/>
          <w:szCs w:val="28"/>
        </w:rPr>
        <w:sectPr>
          <w:pgSz w:w="11906" w:h="16838"/>
          <w:pgMar w:top="2098" w:right="1474" w:bottom="1985" w:left="1588" w:header="851" w:footer="992" w:gutter="0"/>
          <w:pgNumType w:chapSep="emDash"/>
          <w:cols w:space="720" w:num="1"/>
          <w:docGrid w:type="lines" w:linePitch="312" w:charSpace="0"/>
        </w:sectPr>
      </w:pPr>
    </w:p>
    <w:p w14:paraId="061901DD">
      <w:pPr>
        <w:pStyle w:val="8"/>
        <w:widowControl/>
        <w:tabs>
          <w:tab w:val="left" w:pos="1875"/>
        </w:tabs>
        <w:ind w:left="0" w:leftChars="0" w:firstLine="0" w:firstLineChars="0"/>
        <w:rPr>
          <w:rFonts w:hint="eastAsia" w:hAnsi="微软雅黑" w:eastAsia="仿宋_GB2312"/>
          <w:sz w:val="28"/>
          <w:szCs w:val="28"/>
        </w:rPr>
      </w:pPr>
      <w:r>
        <w:rPr>
          <w:rFonts w:hAnsi="微软雅黑"/>
          <w:sz w:val="28"/>
          <w:szCs w:val="28"/>
        </w:rPr>
        <w:t>附件</w:t>
      </w:r>
      <w:r>
        <w:rPr>
          <w:rFonts w:hint="eastAsia" w:hAnsi="微软雅黑"/>
          <w:sz w:val="28"/>
          <w:szCs w:val="28"/>
        </w:rPr>
        <w:t>5</w:t>
      </w:r>
    </w:p>
    <w:p w14:paraId="42A51958">
      <w:pPr>
        <w:jc w:val="center"/>
        <w:rPr>
          <w:rFonts w:hint="eastAsia" w:ascii="黑体" w:hAnsi="黑体" w:eastAsia="黑体" w:cs="黑体"/>
          <w:bCs/>
          <w:sz w:val="44"/>
          <w:szCs w:val="44"/>
          <w:lang w:bidi="ar"/>
        </w:rPr>
      </w:pPr>
      <w:r>
        <w:rPr>
          <w:rFonts w:hint="eastAsia" w:ascii="黑体" w:hAnsi="黑体" w:eastAsia="黑体" w:cs="黑体"/>
          <w:bCs/>
          <w:sz w:val="44"/>
          <w:szCs w:val="44"/>
          <w:lang w:bidi="ar"/>
        </w:rPr>
        <w:t>响应偏离表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704"/>
        <w:gridCol w:w="3641"/>
        <w:gridCol w:w="3641"/>
        <w:gridCol w:w="1118"/>
        <w:gridCol w:w="1241"/>
        <w:gridCol w:w="866"/>
      </w:tblGrid>
      <w:tr w14:paraId="3BDB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trPr>
        <w:tc>
          <w:tcPr>
            <w:tcW w:w="760" w:type="dxa"/>
            <w:tcBorders>
              <w:top w:val="single" w:color="auto" w:sz="4" w:space="0"/>
              <w:left w:val="single" w:color="auto" w:sz="4" w:space="0"/>
              <w:right w:val="single" w:color="auto" w:sz="4" w:space="0"/>
            </w:tcBorders>
            <w:noWrap w:val="0"/>
            <w:vAlign w:val="center"/>
          </w:tcPr>
          <w:p w14:paraId="444E7E37">
            <w:pPr>
              <w:widowControl/>
              <w:spacing w:line="360" w:lineRule="exact"/>
              <w:jc w:val="center"/>
              <w:rPr>
                <w:rFonts w:ascii="宋体" w:hAnsi="宋体"/>
                <w:sz w:val="24"/>
              </w:rPr>
            </w:pPr>
            <w:r>
              <w:rPr>
                <w:rFonts w:hint="eastAsia" w:ascii="宋体" w:hAnsi="宋体"/>
                <w:sz w:val="24"/>
              </w:rPr>
              <w:t>序号</w:t>
            </w:r>
          </w:p>
        </w:tc>
        <w:tc>
          <w:tcPr>
            <w:tcW w:w="1704" w:type="dxa"/>
            <w:tcBorders>
              <w:top w:val="single" w:color="auto" w:sz="4" w:space="0"/>
              <w:left w:val="single" w:color="auto" w:sz="4" w:space="0"/>
              <w:right w:val="single" w:color="auto" w:sz="4" w:space="0"/>
            </w:tcBorders>
            <w:noWrap w:val="0"/>
            <w:vAlign w:val="center"/>
          </w:tcPr>
          <w:p w14:paraId="3C07A742">
            <w:pPr>
              <w:widowControl/>
              <w:spacing w:line="360" w:lineRule="exact"/>
              <w:jc w:val="center"/>
              <w:rPr>
                <w:rFonts w:ascii="宋体" w:hAnsi="宋体"/>
                <w:sz w:val="24"/>
              </w:rPr>
            </w:pPr>
            <w:r>
              <w:rPr>
                <w:rFonts w:hint="eastAsia" w:ascii="宋体" w:hAnsi="宋体"/>
                <w:sz w:val="24"/>
              </w:rPr>
              <w:t>评审项目</w:t>
            </w:r>
          </w:p>
        </w:tc>
        <w:tc>
          <w:tcPr>
            <w:tcW w:w="3641" w:type="dxa"/>
            <w:tcBorders>
              <w:top w:val="single" w:color="auto" w:sz="4" w:space="0"/>
              <w:left w:val="single" w:color="auto" w:sz="4" w:space="0"/>
              <w:right w:val="single" w:color="auto" w:sz="4" w:space="0"/>
            </w:tcBorders>
            <w:noWrap w:val="0"/>
            <w:vAlign w:val="center"/>
          </w:tcPr>
          <w:p w14:paraId="2FFC777B">
            <w:pPr>
              <w:widowControl/>
              <w:spacing w:line="360" w:lineRule="exact"/>
              <w:jc w:val="center"/>
              <w:rPr>
                <w:rFonts w:ascii="宋体" w:hAnsi="宋体"/>
                <w:sz w:val="24"/>
              </w:rPr>
            </w:pPr>
            <w:r>
              <w:rPr>
                <w:rFonts w:hint="eastAsia" w:ascii="宋体" w:hAnsi="宋体"/>
                <w:sz w:val="24"/>
              </w:rPr>
              <w:t>采购内容明细</w:t>
            </w:r>
          </w:p>
        </w:tc>
        <w:tc>
          <w:tcPr>
            <w:tcW w:w="3641" w:type="dxa"/>
            <w:tcBorders>
              <w:top w:val="single" w:color="auto" w:sz="4" w:space="0"/>
              <w:left w:val="single" w:color="auto" w:sz="4" w:space="0"/>
              <w:right w:val="single" w:color="auto" w:sz="4" w:space="0"/>
            </w:tcBorders>
            <w:noWrap w:val="0"/>
            <w:vAlign w:val="center"/>
          </w:tcPr>
          <w:p w14:paraId="19CF4DAB">
            <w:pPr>
              <w:widowControl/>
              <w:spacing w:line="360" w:lineRule="exact"/>
              <w:jc w:val="center"/>
              <w:rPr>
                <w:rFonts w:ascii="宋体" w:hAnsi="宋体"/>
                <w:sz w:val="24"/>
              </w:rPr>
            </w:pPr>
            <w:r>
              <w:rPr>
                <w:rFonts w:hint="eastAsia" w:ascii="宋体" w:hAnsi="宋体"/>
                <w:sz w:val="24"/>
              </w:rPr>
              <w:t>供应商响应</w:t>
            </w:r>
          </w:p>
        </w:tc>
        <w:tc>
          <w:tcPr>
            <w:tcW w:w="1118" w:type="dxa"/>
            <w:tcBorders>
              <w:top w:val="single" w:color="auto" w:sz="4" w:space="0"/>
              <w:left w:val="single" w:color="auto" w:sz="4" w:space="0"/>
              <w:right w:val="single" w:color="auto" w:sz="4" w:space="0"/>
            </w:tcBorders>
            <w:noWrap w:val="0"/>
            <w:vAlign w:val="center"/>
          </w:tcPr>
          <w:p w14:paraId="2D312338">
            <w:pPr>
              <w:widowControl/>
              <w:spacing w:line="360" w:lineRule="exact"/>
              <w:jc w:val="center"/>
              <w:rPr>
                <w:rFonts w:ascii="宋体" w:hAnsi="宋体"/>
                <w:sz w:val="24"/>
              </w:rPr>
            </w:pPr>
            <w:r>
              <w:rPr>
                <w:rFonts w:hint="eastAsia" w:ascii="宋体" w:hAnsi="宋体"/>
                <w:sz w:val="24"/>
              </w:rPr>
              <w:t>偏离</w:t>
            </w:r>
            <w:r>
              <w:rPr>
                <w:rFonts w:hint="eastAsia"/>
                <w:bCs/>
                <w:sz w:val="24"/>
              </w:rPr>
              <w:t>度</w:t>
            </w:r>
          </w:p>
        </w:tc>
        <w:tc>
          <w:tcPr>
            <w:tcW w:w="1241" w:type="dxa"/>
            <w:tcBorders>
              <w:top w:val="single" w:color="auto" w:sz="4" w:space="0"/>
              <w:left w:val="single" w:color="auto" w:sz="4" w:space="0"/>
              <w:right w:val="single" w:color="auto" w:sz="4" w:space="0"/>
            </w:tcBorders>
            <w:noWrap w:val="0"/>
            <w:vAlign w:val="center"/>
          </w:tcPr>
          <w:p w14:paraId="3EADEDE5">
            <w:pPr>
              <w:widowControl/>
              <w:spacing w:line="360" w:lineRule="exact"/>
              <w:jc w:val="center"/>
              <w:rPr>
                <w:rFonts w:ascii="宋体" w:hAnsi="宋体"/>
                <w:sz w:val="24"/>
              </w:rPr>
            </w:pPr>
            <w:r>
              <w:rPr>
                <w:rFonts w:hint="eastAsia"/>
                <w:bCs/>
                <w:sz w:val="24"/>
              </w:rPr>
              <w:t>文件名称</w:t>
            </w:r>
            <w:r>
              <w:rPr>
                <w:rFonts w:hint="eastAsia" w:ascii="宋体" w:hAnsi="宋体"/>
                <w:bCs/>
                <w:sz w:val="24"/>
              </w:rPr>
              <w:t>∕页码</w:t>
            </w:r>
          </w:p>
        </w:tc>
        <w:tc>
          <w:tcPr>
            <w:tcW w:w="866" w:type="dxa"/>
            <w:tcBorders>
              <w:top w:val="single" w:color="auto" w:sz="4" w:space="0"/>
              <w:left w:val="single" w:color="auto" w:sz="4" w:space="0"/>
              <w:right w:val="single" w:color="auto" w:sz="4" w:space="0"/>
            </w:tcBorders>
            <w:noWrap w:val="0"/>
            <w:vAlign w:val="center"/>
          </w:tcPr>
          <w:p w14:paraId="51B78C43">
            <w:pPr>
              <w:spacing w:line="360" w:lineRule="exact"/>
              <w:jc w:val="center"/>
              <w:rPr>
                <w:rFonts w:ascii="宋体" w:hAnsi="宋体"/>
                <w:sz w:val="24"/>
              </w:rPr>
            </w:pPr>
            <w:r>
              <w:rPr>
                <w:rFonts w:hint="eastAsia" w:ascii="宋体" w:hAnsi="宋体"/>
                <w:sz w:val="24"/>
              </w:rPr>
              <w:t>备注</w:t>
            </w:r>
          </w:p>
        </w:tc>
      </w:tr>
      <w:tr w14:paraId="0AC0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4617C0A0">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247B2200">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7244E6F9">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683070E5">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A96EFD9">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35C188C5">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5A1FE2E7">
            <w:pPr>
              <w:spacing w:line="360" w:lineRule="exact"/>
              <w:rPr>
                <w:rFonts w:ascii="宋体" w:hAnsi="宋体"/>
                <w:sz w:val="24"/>
              </w:rPr>
            </w:pPr>
          </w:p>
        </w:tc>
      </w:tr>
      <w:tr w14:paraId="5692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7B937751">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4025B0F1">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59EEC4E8">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1A213063">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AB04849">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578707A1">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3E53EDD8">
            <w:pPr>
              <w:spacing w:line="360" w:lineRule="exact"/>
              <w:rPr>
                <w:rFonts w:ascii="宋体" w:hAnsi="宋体"/>
                <w:sz w:val="24"/>
              </w:rPr>
            </w:pPr>
          </w:p>
        </w:tc>
      </w:tr>
      <w:tr w14:paraId="17AB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7DEA941F">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6C15CBCF">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567808E4">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0550F5A3">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BE648BC">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03290D50">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4E7F4068">
            <w:pPr>
              <w:spacing w:line="360" w:lineRule="exact"/>
              <w:rPr>
                <w:rFonts w:ascii="宋体" w:hAnsi="宋体"/>
                <w:sz w:val="24"/>
              </w:rPr>
            </w:pPr>
          </w:p>
        </w:tc>
      </w:tr>
      <w:tr w14:paraId="3706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60" w:type="dxa"/>
            <w:tcBorders>
              <w:top w:val="single" w:color="auto" w:sz="4" w:space="0"/>
              <w:left w:val="single" w:color="auto" w:sz="4" w:space="0"/>
              <w:bottom w:val="single" w:color="auto" w:sz="4" w:space="0"/>
              <w:right w:val="single" w:color="auto" w:sz="4" w:space="0"/>
            </w:tcBorders>
            <w:noWrap w:val="0"/>
            <w:vAlign w:val="center"/>
          </w:tcPr>
          <w:p w14:paraId="57F17870">
            <w:pPr>
              <w:spacing w:line="360" w:lineRule="exact"/>
              <w:rPr>
                <w:rFonts w:ascii="宋体" w:hAnsi="宋体"/>
                <w:sz w:val="24"/>
              </w:rPr>
            </w:pPr>
          </w:p>
        </w:tc>
        <w:tc>
          <w:tcPr>
            <w:tcW w:w="1704" w:type="dxa"/>
            <w:tcBorders>
              <w:top w:val="single" w:color="auto" w:sz="4" w:space="0"/>
              <w:left w:val="single" w:color="auto" w:sz="4" w:space="0"/>
              <w:bottom w:val="single" w:color="auto" w:sz="4" w:space="0"/>
              <w:right w:val="single" w:color="auto" w:sz="4" w:space="0"/>
            </w:tcBorders>
            <w:noWrap w:val="0"/>
            <w:vAlign w:val="center"/>
          </w:tcPr>
          <w:p w14:paraId="6522D8D4">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54906CFD">
            <w:pPr>
              <w:spacing w:line="360" w:lineRule="exact"/>
              <w:rPr>
                <w:rFonts w:ascii="宋体" w:hAnsi="宋体"/>
                <w:sz w:val="24"/>
              </w:rPr>
            </w:pPr>
          </w:p>
        </w:tc>
        <w:tc>
          <w:tcPr>
            <w:tcW w:w="3641" w:type="dxa"/>
            <w:tcBorders>
              <w:top w:val="single" w:color="auto" w:sz="4" w:space="0"/>
              <w:left w:val="single" w:color="auto" w:sz="4" w:space="0"/>
              <w:bottom w:val="single" w:color="auto" w:sz="4" w:space="0"/>
              <w:right w:val="single" w:color="auto" w:sz="4" w:space="0"/>
            </w:tcBorders>
            <w:noWrap w:val="0"/>
            <w:vAlign w:val="center"/>
          </w:tcPr>
          <w:p w14:paraId="15D0A10B">
            <w:pPr>
              <w:spacing w:line="360" w:lineRule="exact"/>
              <w:rPr>
                <w:rFonts w:ascii="宋体" w:hAnsi="宋体"/>
                <w:sz w:val="24"/>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ED01B1F">
            <w:pPr>
              <w:spacing w:line="360" w:lineRule="exact"/>
              <w:rPr>
                <w:rFonts w:ascii="宋体" w:hAnsi="宋体"/>
                <w:sz w:val="24"/>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3F4715B4">
            <w:pPr>
              <w:spacing w:line="360" w:lineRule="exact"/>
              <w:rPr>
                <w:rFonts w:ascii="宋体" w:hAnsi="宋体"/>
                <w:sz w:val="24"/>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1235CD8D">
            <w:pPr>
              <w:spacing w:line="360" w:lineRule="exact"/>
              <w:rPr>
                <w:rFonts w:ascii="宋体" w:hAnsi="宋体"/>
                <w:sz w:val="24"/>
              </w:rPr>
            </w:pPr>
          </w:p>
        </w:tc>
      </w:tr>
      <w:tr w14:paraId="5C52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12971" w:type="dxa"/>
            <w:gridSpan w:val="7"/>
            <w:tcBorders>
              <w:top w:val="single" w:color="auto" w:sz="4" w:space="0"/>
              <w:left w:val="single" w:color="auto" w:sz="4" w:space="0"/>
              <w:right w:val="single" w:color="auto" w:sz="4" w:space="0"/>
            </w:tcBorders>
            <w:noWrap w:val="0"/>
            <w:vAlign w:val="center"/>
          </w:tcPr>
          <w:p w14:paraId="7FB7E3E3">
            <w:pPr>
              <w:spacing w:before="94" w:beforeLines="30" w:after="94" w:afterLines="30" w:line="400" w:lineRule="exact"/>
              <w:rPr>
                <w:rFonts w:ascii="宋体" w:hAnsi="宋体"/>
                <w:sz w:val="24"/>
              </w:rPr>
            </w:pPr>
            <w:r>
              <w:rPr>
                <w:rFonts w:hint="eastAsia"/>
                <w:sz w:val="24"/>
              </w:rPr>
              <w:t>说明：</w:t>
            </w:r>
            <w:r>
              <w:rPr>
                <w:rFonts w:hint="eastAsia"/>
                <w:bCs/>
                <w:sz w:val="24"/>
              </w:rPr>
              <w:t>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14:paraId="382F91A1">
      <w:pPr>
        <w:pStyle w:val="2"/>
        <w:spacing w:after="0" w:line="560" w:lineRule="exact"/>
        <w:rPr>
          <w:sz w:val="28"/>
          <w:szCs w:val="28"/>
        </w:rPr>
      </w:pPr>
    </w:p>
    <w:p w14:paraId="519AB47B">
      <w:pPr>
        <w:spacing w:line="560" w:lineRule="exact"/>
        <w:ind w:firstLine="5320" w:firstLineChars="1900"/>
        <w:rPr>
          <w:rFonts w:ascii="宋体" w:hAnsi="宋体"/>
          <w:sz w:val="28"/>
          <w:szCs w:val="28"/>
          <w:lang w:val="zh-CN"/>
        </w:rPr>
      </w:pPr>
      <w:r>
        <w:rPr>
          <w:rFonts w:hint="eastAsia" w:ascii="宋体" w:hAnsi="宋体"/>
          <w:sz w:val="28"/>
          <w:szCs w:val="28"/>
          <w:lang w:val="zh-CN"/>
        </w:rPr>
        <w:t>报价供应商全称：（盖章）</w:t>
      </w:r>
    </w:p>
    <w:p w14:paraId="75935104">
      <w:pPr>
        <w:spacing w:line="560" w:lineRule="exact"/>
        <w:ind w:firstLine="5320" w:firstLineChars="1900"/>
        <w:jc w:val="left"/>
        <w:rPr>
          <w:rFonts w:ascii="宋体" w:hAnsi="宋体"/>
          <w:sz w:val="28"/>
          <w:szCs w:val="28"/>
          <w:lang w:val="zh-CN"/>
        </w:rPr>
      </w:pPr>
      <w:r>
        <w:rPr>
          <w:rFonts w:hint="eastAsia" w:ascii="宋体" w:hAnsi="宋体"/>
          <w:sz w:val="28"/>
          <w:szCs w:val="28"/>
          <w:lang w:val="zh-CN"/>
        </w:rPr>
        <w:t>法定代表人（或授权代表）：（签字）</w:t>
      </w:r>
    </w:p>
    <w:p w14:paraId="2B4FC9A9">
      <w:pPr>
        <w:ind w:firstLine="8960" w:firstLineChars="3200"/>
        <w:rPr>
          <w:rFonts w:hint="eastAsia" w:ascii="仿宋_GB2312" w:hAnsi="微软雅黑" w:eastAsia="仿宋_GB2312"/>
          <w:sz w:val="28"/>
          <w:szCs w:val="28"/>
        </w:rPr>
      </w:pP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14:paraId="3D8CF2B4"/>
    <w:sectPr>
      <w:pgSz w:w="16838" w:h="11906" w:orient="landscape"/>
      <w:pgMar w:top="1587" w:right="2098" w:bottom="1474" w:left="1985" w:header="851" w:footer="992" w:gutter="0"/>
      <w:pgNumType w:chapSep="emDash"/>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6F979">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269B3">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89EBF">
    <w:pPr>
      <w:snapToGrid w:val="0"/>
      <w:rPr>
        <w:rFonts w:hint="eastAsia"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7CD1B">
    <w:pPr>
      <w:snapToGrid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E83E7E"/>
    <w:rsid w:val="2C603BDB"/>
    <w:rsid w:val="40E83E7E"/>
    <w:rsid w:val="5F635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4">
    <w:name w:val="index 4"/>
    <w:basedOn w:val="1"/>
    <w:next w:val="1"/>
    <w:unhideWhenUsed/>
    <w:qFormat/>
    <w:uiPriority w:val="99"/>
    <w:pPr>
      <w:ind w:left="600" w:leftChars="600"/>
    </w:pPr>
    <w:rPr>
      <w:rFonts w:ascii="Verdana" w:hAnsi="Verdana"/>
      <w:szCs w:val="20"/>
    </w:rPr>
  </w:style>
  <w:style w:type="paragraph" w:styleId="5">
    <w:name w:val="Body Text Indent 2"/>
    <w:basedOn w:val="1"/>
    <w:qFormat/>
    <w:uiPriority w:val="0"/>
    <w:pPr>
      <w:spacing w:after="120" w:line="480" w:lineRule="auto"/>
      <w:ind w:left="420" w:leftChars="20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styleId="8">
    <w:name w:val="Body Text First Indent 2"/>
    <w:basedOn w:val="3"/>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6298</Words>
  <Characters>7302</Characters>
  <Lines>0</Lines>
  <Paragraphs>0</Paragraphs>
  <TotalTime>1</TotalTime>
  <ScaleCrop>false</ScaleCrop>
  <LinksUpToDate>false</LinksUpToDate>
  <CharactersWithSpaces>7359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2026-08-27T08:53:00Z</dcterms:created>
  <dc:creator>许天罡</dc:creator>
  <cp:lastModifiedBy>某学院采购室</cp:lastModifiedBy>
  <dcterms:modified xsi:type="dcterms:W3CDTF">2026-09-02T08:00:12Z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847B01EFCA2648DE88C0EE5E7D3A76F8_13</vt:lpwstr>
  </property>
  <property fmtid="{D5CDD505-2E9C-101B-9397-08002B2CF9AE}" pid="4" name="KSOTemplateDocerSaveRecord">
    <vt:lpwstr>eyJoZGlkIjoiMWEyODliZTMxODAyYzRiOTYyNDhiMWJiNmRlZDdjNTMiLCJ1c2VySWQiOiIzMzQwMDQ3NDIifQ==</vt:lpwstr>
  </property>
</Properties>
</file>